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A0CBDB" w14:textId="065318FF" w:rsidR="00E90E49" w:rsidRPr="00515C66" w:rsidRDefault="00E90E49" w:rsidP="00E35559">
      <w:pPr>
        <w:pStyle w:val="3GPPHeader"/>
        <w:spacing w:after="60"/>
        <w:rPr>
          <w:sz w:val="32"/>
          <w:szCs w:val="32"/>
        </w:rPr>
      </w:pPr>
      <w:r w:rsidRPr="00515C66">
        <w:t>3GPP TSG-RAN WG</w:t>
      </w:r>
      <w:r w:rsidR="007730BD" w:rsidRPr="00515C66">
        <w:t>2</w:t>
      </w:r>
      <w:r w:rsidRPr="00515C66">
        <w:t xml:space="preserve"> #</w:t>
      </w:r>
      <w:r w:rsidR="00AE3743" w:rsidRPr="00515C66">
        <w:t>9</w:t>
      </w:r>
      <w:r w:rsidR="00C544E1" w:rsidRPr="00515C66">
        <w:t>8</w:t>
      </w:r>
      <w:r w:rsidRPr="00515C66">
        <w:tab/>
      </w:r>
      <w:r w:rsidRPr="00515C66">
        <w:rPr>
          <w:sz w:val="32"/>
          <w:szCs w:val="32"/>
        </w:rPr>
        <w:t xml:space="preserve">Tdoc </w:t>
      </w:r>
      <w:r w:rsidR="00091557" w:rsidRPr="00515C66">
        <w:rPr>
          <w:sz w:val="32"/>
          <w:szCs w:val="32"/>
        </w:rPr>
        <w:t>R2-</w:t>
      </w:r>
      <w:r w:rsidR="005F3025" w:rsidRPr="00515C66">
        <w:rPr>
          <w:sz w:val="32"/>
          <w:szCs w:val="32"/>
        </w:rPr>
        <w:t>1</w:t>
      </w:r>
      <w:r w:rsidR="000039F4" w:rsidRPr="00515C66">
        <w:rPr>
          <w:sz w:val="32"/>
          <w:szCs w:val="32"/>
        </w:rPr>
        <w:t>7</w:t>
      </w:r>
      <w:r w:rsidR="00E22251" w:rsidRPr="00515C66">
        <w:rPr>
          <w:sz w:val="32"/>
          <w:szCs w:val="32"/>
        </w:rPr>
        <w:t>04409</w:t>
      </w:r>
    </w:p>
    <w:p w14:paraId="59B98BD0" w14:textId="77777777" w:rsidR="00E90E49" w:rsidRPr="00515C66" w:rsidRDefault="00CD21F5" w:rsidP="00311702">
      <w:pPr>
        <w:pStyle w:val="3GPPHeader"/>
      </w:pPr>
      <w:r w:rsidRPr="00515C66">
        <w:t>Hangzhou</w:t>
      </w:r>
      <w:r w:rsidR="00AE3743" w:rsidRPr="00515C66">
        <w:t xml:space="preserve">, </w:t>
      </w:r>
      <w:r w:rsidR="00C544E1" w:rsidRPr="00515C66">
        <w:t>P.R. of China</w:t>
      </w:r>
      <w:r w:rsidR="00AE3743" w:rsidRPr="00515C66">
        <w:t xml:space="preserve">, </w:t>
      </w:r>
      <w:r w:rsidR="00C544E1" w:rsidRPr="00515C66">
        <w:t>15</w:t>
      </w:r>
      <w:r w:rsidR="00C544E1" w:rsidRPr="00515C66">
        <w:rPr>
          <w:vertAlign w:val="superscript"/>
        </w:rPr>
        <w:t>th</w:t>
      </w:r>
      <w:r w:rsidR="00C544E1" w:rsidRPr="00515C66">
        <w:t xml:space="preserve"> </w:t>
      </w:r>
      <w:r w:rsidR="00AE3743" w:rsidRPr="00515C66">
        <w:t xml:space="preserve">– </w:t>
      </w:r>
      <w:r w:rsidR="00C544E1" w:rsidRPr="00515C66">
        <w:t>19</w:t>
      </w:r>
      <w:r w:rsidR="00AE3743" w:rsidRPr="00515C66">
        <w:rPr>
          <w:vertAlign w:val="superscript"/>
        </w:rPr>
        <w:t>th</w:t>
      </w:r>
      <w:r w:rsidR="00AE3743" w:rsidRPr="00515C66">
        <w:t xml:space="preserve"> </w:t>
      </w:r>
      <w:r w:rsidR="00C544E1" w:rsidRPr="00515C66">
        <w:t xml:space="preserve">May </w:t>
      </w:r>
      <w:r w:rsidR="00AE3743" w:rsidRPr="00515C66">
        <w:t>2017</w:t>
      </w:r>
    </w:p>
    <w:p w14:paraId="3E35A30C" w14:textId="77777777" w:rsidR="00E90E49" w:rsidRPr="00515C66" w:rsidRDefault="00E90E49" w:rsidP="00357380">
      <w:pPr>
        <w:pStyle w:val="3GPPHeader"/>
      </w:pPr>
    </w:p>
    <w:p w14:paraId="2ABCE032" w14:textId="24DEF467" w:rsidR="00E90E49" w:rsidRPr="00515C66" w:rsidRDefault="00E90E49" w:rsidP="00311702">
      <w:pPr>
        <w:pStyle w:val="3GPPHeader"/>
        <w:rPr>
          <w:sz w:val="22"/>
        </w:rPr>
      </w:pPr>
      <w:r w:rsidRPr="00515C66">
        <w:rPr>
          <w:sz w:val="22"/>
        </w:rPr>
        <w:t>Agenda Item:</w:t>
      </w:r>
      <w:r w:rsidRPr="00515C66">
        <w:rPr>
          <w:sz w:val="22"/>
        </w:rPr>
        <w:tab/>
      </w:r>
      <w:r w:rsidR="005303FA" w:rsidRPr="00515C66">
        <w:rPr>
          <w:sz w:val="22"/>
        </w:rPr>
        <w:t>10.3.1.8</w:t>
      </w:r>
    </w:p>
    <w:p w14:paraId="2AF1BA07" w14:textId="77777777" w:rsidR="00E90E49" w:rsidRPr="00515C66" w:rsidRDefault="003D3C45" w:rsidP="00F64C2B">
      <w:pPr>
        <w:pStyle w:val="3GPPHeader"/>
        <w:rPr>
          <w:sz w:val="22"/>
        </w:rPr>
      </w:pPr>
      <w:r w:rsidRPr="00515C66">
        <w:rPr>
          <w:sz w:val="22"/>
        </w:rPr>
        <w:t>Source:</w:t>
      </w:r>
      <w:r w:rsidR="00E90E49" w:rsidRPr="00515C66">
        <w:rPr>
          <w:sz w:val="22"/>
        </w:rPr>
        <w:tab/>
      </w:r>
      <w:r w:rsidR="00F64C2B" w:rsidRPr="00515C66">
        <w:rPr>
          <w:sz w:val="22"/>
        </w:rPr>
        <w:t>Ericsson</w:t>
      </w:r>
    </w:p>
    <w:p w14:paraId="167A6C8C" w14:textId="79D8E872" w:rsidR="00E90E49" w:rsidRPr="00515C66" w:rsidRDefault="003D3C45" w:rsidP="00311702">
      <w:pPr>
        <w:pStyle w:val="3GPPHeader"/>
        <w:rPr>
          <w:sz w:val="22"/>
        </w:rPr>
      </w:pPr>
      <w:r w:rsidRPr="00515C66">
        <w:rPr>
          <w:sz w:val="22"/>
        </w:rPr>
        <w:t>Title:</w:t>
      </w:r>
      <w:r w:rsidR="00E90E49" w:rsidRPr="00515C66">
        <w:rPr>
          <w:sz w:val="22"/>
        </w:rPr>
        <w:tab/>
      </w:r>
      <w:r w:rsidR="004362FD" w:rsidRPr="00515C66">
        <w:rPr>
          <w:sz w:val="22"/>
        </w:rPr>
        <w:t>HARQ Processes for Spatial Multiplexing</w:t>
      </w:r>
    </w:p>
    <w:p w14:paraId="71A2EDB4" w14:textId="77777777" w:rsidR="00E90E49" w:rsidRPr="00515C66" w:rsidRDefault="00E90E49" w:rsidP="00D546FF">
      <w:pPr>
        <w:pStyle w:val="3GPPHeader"/>
        <w:rPr>
          <w:sz w:val="22"/>
        </w:rPr>
      </w:pPr>
      <w:r w:rsidRPr="00515C66">
        <w:rPr>
          <w:sz w:val="22"/>
        </w:rPr>
        <w:t>Document for:</w:t>
      </w:r>
      <w:r w:rsidRPr="00515C66">
        <w:rPr>
          <w:sz w:val="22"/>
        </w:rPr>
        <w:tab/>
        <w:t>Discussion, Decision</w:t>
      </w:r>
    </w:p>
    <w:p w14:paraId="12861119" w14:textId="77777777" w:rsidR="00E90E49" w:rsidRPr="00515C66" w:rsidRDefault="00E90E49" w:rsidP="00E90E49"/>
    <w:p w14:paraId="3C4AA58D" w14:textId="2F7E605C" w:rsidR="00C24345" w:rsidRPr="00515C66" w:rsidRDefault="00E90E49" w:rsidP="00A2052C">
      <w:pPr>
        <w:pStyle w:val="Heading1"/>
        <w:rPr>
          <w:lang w:val="en-US"/>
        </w:rPr>
      </w:pPr>
      <w:r w:rsidRPr="00515C66">
        <w:rPr>
          <w:lang w:val="en-US"/>
        </w:rPr>
        <w:t>Introduction</w:t>
      </w:r>
    </w:p>
    <w:p w14:paraId="1E437A6C" w14:textId="447CC215" w:rsidR="00C9064E" w:rsidRPr="00515C66" w:rsidRDefault="00C9064E" w:rsidP="00C9064E">
      <w:r w:rsidRPr="00515C66">
        <w:t xml:space="preserve">This paper discusses </w:t>
      </w:r>
      <w:r w:rsidR="005303FA" w:rsidRPr="00515C66">
        <w:t>how to model the interaction between PHY and MAC with respect to the number of transport blocks and HARQ processes when spatial multiplexing is configured</w:t>
      </w:r>
      <w:r w:rsidRPr="00515C66">
        <w:t xml:space="preserve">. Some </w:t>
      </w:r>
      <w:r w:rsidR="00B10771" w:rsidRPr="00515C66">
        <w:t xml:space="preserve">relevant </w:t>
      </w:r>
      <w:r w:rsidRPr="00515C66">
        <w:t>agreements from previous RAN1 and R</w:t>
      </w:r>
      <w:r w:rsidR="00B10771" w:rsidRPr="00515C66">
        <w:t>AN2 conferences are listed below:</w:t>
      </w:r>
    </w:p>
    <w:p w14:paraId="687B6A5E" w14:textId="25302C75" w:rsidR="00251B6B" w:rsidRPr="00515C66" w:rsidRDefault="00B10771" w:rsidP="00515C66">
      <w:pPr>
        <w:pStyle w:val="BodyText"/>
        <w:rPr>
          <w:rFonts w:ascii="Calibri" w:hAnsi="Calibri"/>
        </w:rPr>
      </w:pPr>
      <w:r w:rsidRPr="00515C66">
        <w:t>In RAN2-97bis, there are the following agreements</w:t>
      </w:r>
      <w:r w:rsidR="00623D5E" w:rsidRPr="00515C66">
        <w:t>:</w:t>
      </w:r>
    </w:p>
    <w:p w14:paraId="61AC93B4" w14:textId="3F32AA32" w:rsidR="00251B6B" w:rsidRPr="00515C66" w:rsidRDefault="00251B6B" w:rsidP="00B10771">
      <w:pPr>
        <w:numPr>
          <w:ilvl w:val="0"/>
          <w:numId w:val="18"/>
        </w:numPr>
        <w:spacing w:after="0"/>
        <w:rPr>
          <w:lang w:eastAsia="ja-JP"/>
        </w:rPr>
      </w:pPr>
      <w:r w:rsidRPr="00515C66">
        <w:rPr>
          <w:lang w:eastAsia="ja-JP"/>
        </w:rPr>
        <w:t>A UE not using DL spatial multiplexing shall expect at most one TB per HARQ process.</w:t>
      </w:r>
    </w:p>
    <w:p w14:paraId="2AEAF852" w14:textId="0855721F" w:rsidR="00251B6B" w:rsidRPr="00515C66" w:rsidRDefault="00251B6B" w:rsidP="000F71CC">
      <w:pPr>
        <w:numPr>
          <w:ilvl w:val="0"/>
          <w:numId w:val="18"/>
        </w:numPr>
        <w:spacing w:after="0"/>
      </w:pPr>
      <w:r w:rsidRPr="00515C66">
        <w:rPr>
          <w:lang w:eastAsia="ja-JP"/>
        </w:rPr>
        <w:t>A UE can transmit at most one TB per UL HARQ process per TTI.</w:t>
      </w:r>
    </w:p>
    <w:p w14:paraId="134518CA" w14:textId="230C179B" w:rsidR="00251B6B" w:rsidRPr="00515C66" w:rsidRDefault="00251B6B" w:rsidP="00515C66">
      <w:pPr>
        <w:pStyle w:val="BodyText"/>
      </w:pPr>
      <w:r w:rsidRPr="00515C66">
        <w:t>In RAN1-88, there are the</w:t>
      </w:r>
      <w:r w:rsidR="00623D5E" w:rsidRPr="00515C66">
        <w:t xml:space="preserve"> following</w:t>
      </w:r>
      <w:r w:rsidRPr="00515C66">
        <w:t xml:space="preserve"> agreements:</w:t>
      </w:r>
    </w:p>
    <w:p w14:paraId="5CD4BD4C" w14:textId="77777777" w:rsidR="00251B6B" w:rsidRPr="00515C66" w:rsidRDefault="00251B6B" w:rsidP="00251B6B">
      <w:pPr>
        <w:numPr>
          <w:ilvl w:val="0"/>
          <w:numId w:val="18"/>
        </w:numPr>
        <w:spacing w:after="0"/>
        <w:rPr>
          <w:lang w:eastAsia="ja-JP"/>
        </w:rPr>
      </w:pPr>
      <w:r w:rsidRPr="00515C66">
        <w:rPr>
          <w:lang w:eastAsia="ja-JP"/>
        </w:rPr>
        <w:t>NR supports the following number of codewords per PDSCH/PUSCH assignment per UE:</w:t>
      </w:r>
    </w:p>
    <w:p w14:paraId="686EE420" w14:textId="77777777" w:rsidR="00251B6B" w:rsidRPr="00515C66" w:rsidRDefault="00251B6B" w:rsidP="00251B6B">
      <w:pPr>
        <w:numPr>
          <w:ilvl w:val="1"/>
          <w:numId w:val="18"/>
        </w:numPr>
        <w:spacing w:after="0"/>
        <w:rPr>
          <w:lang w:eastAsia="ja-JP"/>
        </w:rPr>
      </w:pPr>
      <w:r w:rsidRPr="00515C66">
        <w:rPr>
          <w:lang w:eastAsia="ja-JP"/>
        </w:rPr>
        <w:t>For 1 to 2-layer transmission: 1 codeword</w:t>
      </w:r>
    </w:p>
    <w:p w14:paraId="01327F76" w14:textId="77777777" w:rsidR="00251B6B" w:rsidRPr="00515C66" w:rsidRDefault="00251B6B" w:rsidP="00251B6B">
      <w:pPr>
        <w:numPr>
          <w:ilvl w:val="1"/>
          <w:numId w:val="18"/>
        </w:numPr>
        <w:spacing w:after="0"/>
        <w:rPr>
          <w:lang w:eastAsia="ja-JP"/>
        </w:rPr>
      </w:pPr>
      <w:r w:rsidRPr="00515C66">
        <w:rPr>
          <w:lang w:eastAsia="ja-JP"/>
        </w:rPr>
        <w:t>For 5 to 8-layer transmission: 2 codewords</w:t>
      </w:r>
    </w:p>
    <w:p w14:paraId="72ECDD8F" w14:textId="46B8AB72" w:rsidR="00251B6B" w:rsidRPr="00515C66" w:rsidRDefault="00251B6B" w:rsidP="00EC0FFE">
      <w:pPr>
        <w:numPr>
          <w:ilvl w:val="1"/>
          <w:numId w:val="18"/>
        </w:numPr>
        <w:spacing w:after="0"/>
      </w:pPr>
      <w:r w:rsidRPr="00515C66">
        <w:rPr>
          <w:lang w:eastAsia="ja-JP"/>
        </w:rPr>
        <w:t xml:space="preserve">FFS for 3 &amp; 4-layer transmissions – revisit today </w:t>
      </w:r>
    </w:p>
    <w:p w14:paraId="03FCAEA7" w14:textId="659CA02E" w:rsidR="00251B6B" w:rsidRPr="00515C66" w:rsidRDefault="00B10771" w:rsidP="00515C66">
      <w:pPr>
        <w:pStyle w:val="BodyText"/>
      </w:pPr>
      <w:r w:rsidRPr="00515C66">
        <w:t>In RAN1-88bis, there are the follow agreements:</w:t>
      </w:r>
    </w:p>
    <w:p w14:paraId="0F5AA2D8" w14:textId="77777777" w:rsidR="00251B6B" w:rsidRPr="00515C66" w:rsidRDefault="00251B6B" w:rsidP="00251B6B">
      <w:pPr>
        <w:numPr>
          <w:ilvl w:val="0"/>
          <w:numId w:val="19"/>
        </w:numPr>
        <w:spacing w:after="0"/>
        <w:rPr>
          <w:lang w:eastAsia="ja-JP"/>
        </w:rPr>
      </w:pPr>
      <w:r w:rsidRPr="00515C66">
        <w:rPr>
          <w:lang w:eastAsia="ja-JP"/>
        </w:rPr>
        <w:t xml:space="preserve">Confirm the following working assumption as an </w:t>
      </w:r>
      <w:r w:rsidRPr="00515C66">
        <w:rPr>
          <w:u w:val="single"/>
          <w:lang w:eastAsia="ja-JP"/>
        </w:rPr>
        <w:t>agreement</w:t>
      </w:r>
      <w:r w:rsidRPr="00515C66">
        <w:rPr>
          <w:lang w:eastAsia="ja-JP"/>
        </w:rPr>
        <w:t>:</w:t>
      </w:r>
    </w:p>
    <w:p w14:paraId="2325ED4C" w14:textId="77777777" w:rsidR="00251B6B" w:rsidRPr="00515C66" w:rsidRDefault="00251B6B" w:rsidP="00251B6B">
      <w:pPr>
        <w:numPr>
          <w:ilvl w:val="1"/>
          <w:numId w:val="19"/>
        </w:numPr>
        <w:spacing w:after="0"/>
        <w:rPr>
          <w:lang w:eastAsia="ja-JP"/>
        </w:rPr>
      </w:pPr>
      <w:r w:rsidRPr="00515C66">
        <w:rPr>
          <w:lang w:eastAsia="ja-JP"/>
        </w:rPr>
        <w:t>For 3 and 4-layer transmission, NR supports 1 codeword (CW) per PDSCH/PUSCH assignment per UE</w:t>
      </w:r>
    </w:p>
    <w:p w14:paraId="69AB8E7A" w14:textId="04BE4197" w:rsidR="00C76D59" w:rsidRPr="00515C66" w:rsidRDefault="00251B6B" w:rsidP="00B62361">
      <w:pPr>
        <w:numPr>
          <w:ilvl w:val="2"/>
          <w:numId w:val="19"/>
        </w:numPr>
        <w:spacing w:after="0"/>
        <w:rPr>
          <w:lang w:eastAsia="ja-JP"/>
        </w:rPr>
      </w:pPr>
      <w:r w:rsidRPr="00515C66">
        <w:rPr>
          <w:lang w:eastAsia="ja-JP"/>
        </w:rPr>
        <w:t>FFS: the support of mapping 2-CW to 3 layers and 2-CW to 4 layers</w:t>
      </w:r>
    </w:p>
    <w:p w14:paraId="7880A5C3" w14:textId="526FB674" w:rsidR="0023347A" w:rsidRPr="00515C66" w:rsidRDefault="0023347A" w:rsidP="00515C66">
      <w:pPr>
        <w:pStyle w:val="BodyText"/>
        <w:rPr>
          <w:rFonts w:eastAsia="Calibri"/>
        </w:rPr>
      </w:pPr>
      <w:r w:rsidRPr="00515C66">
        <w:rPr>
          <w:rFonts w:eastAsia="Calibri"/>
        </w:rPr>
        <w:t>and</w:t>
      </w:r>
    </w:p>
    <w:p w14:paraId="7A6427CB" w14:textId="77777777" w:rsidR="0023347A" w:rsidRPr="00515C66" w:rsidRDefault="0023347A" w:rsidP="0023347A">
      <w:pPr>
        <w:numPr>
          <w:ilvl w:val="0"/>
          <w:numId w:val="19"/>
        </w:numPr>
        <w:spacing w:after="0"/>
        <w:rPr>
          <w:rFonts w:eastAsia="Calibri" w:cs="Arial"/>
        </w:rPr>
      </w:pPr>
      <w:r w:rsidRPr="00515C66">
        <w:rPr>
          <w:rFonts w:eastAsia="Calibri" w:cs="Arial"/>
        </w:rPr>
        <w:t xml:space="preserve">Support NR reception of at least one but no more than two of the following </w:t>
      </w:r>
    </w:p>
    <w:p w14:paraId="6F577D9F" w14:textId="77777777" w:rsidR="0023347A" w:rsidRPr="00515C66" w:rsidRDefault="0023347A" w:rsidP="0023347A">
      <w:pPr>
        <w:numPr>
          <w:ilvl w:val="1"/>
          <w:numId w:val="19"/>
        </w:numPr>
        <w:spacing w:after="0"/>
        <w:rPr>
          <w:rFonts w:eastAsia="Calibri" w:cs="Arial"/>
        </w:rPr>
      </w:pPr>
      <w:r w:rsidRPr="00515C66">
        <w:rPr>
          <w:rFonts w:eastAsia="Calibri" w:cs="Arial"/>
        </w:rPr>
        <w:t>Single NR-PDCCH corresponding to the same NR-PDSCH data layers from multiple TRPs within the same carrier</w:t>
      </w:r>
    </w:p>
    <w:p w14:paraId="0A7B25BD" w14:textId="77777777" w:rsidR="0023347A" w:rsidRPr="00515C66" w:rsidRDefault="0023347A" w:rsidP="0023347A">
      <w:pPr>
        <w:numPr>
          <w:ilvl w:val="2"/>
          <w:numId w:val="19"/>
        </w:numPr>
        <w:spacing w:after="0"/>
        <w:rPr>
          <w:rFonts w:eastAsia="Calibri" w:cs="Arial"/>
        </w:rPr>
      </w:pPr>
      <w:r w:rsidRPr="00515C66">
        <w:rPr>
          <w:rFonts w:eastAsia="Calibri" w:cs="Arial"/>
        </w:rPr>
        <w:t>Note that: this is intended to have spec impact</w:t>
      </w:r>
    </w:p>
    <w:p w14:paraId="31638992" w14:textId="77777777" w:rsidR="0023347A" w:rsidRPr="00515C66" w:rsidRDefault="0023347A" w:rsidP="0023347A">
      <w:pPr>
        <w:numPr>
          <w:ilvl w:val="1"/>
          <w:numId w:val="19"/>
        </w:numPr>
        <w:spacing w:after="0"/>
        <w:rPr>
          <w:rFonts w:eastAsia="Calibri" w:cs="Arial"/>
        </w:rPr>
      </w:pPr>
      <w:r w:rsidRPr="00515C66">
        <w:rPr>
          <w:rFonts w:eastAsia="Calibri" w:cs="Arial"/>
        </w:rPr>
        <w:t>Single NR-PDCCH corresponding to different NR-PDSCH data layers from multiple TRPs within the same carrier</w:t>
      </w:r>
    </w:p>
    <w:p w14:paraId="52A16B92" w14:textId="77777777" w:rsidR="0023347A" w:rsidRPr="00515C66" w:rsidRDefault="0023347A" w:rsidP="0023347A">
      <w:pPr>
        <w:numPr>
          <w:ilvl w:val="1"/>
          <w:numId w:val="19"/>
        </w:numPr>
        <w:spacing w:after="0"/>
        <w:rPr>
          <w:rFonts w:eastAsia="Calibri" w:cs="Arial"/>
        </w:rPr>
      </w:pPr>
      <w:r w:rsidRPr="00515C66">
        <w:rPr>
          <w:rFonts w:eastAsia="Calibri" w:cs="Arial"/>
        </w:rPr>
        <w:t xml:space="preserve">Multiple NR-PDCCH corresponding to different NR-PDSCH data layers from multiple TRPs within the same carrier </w:t>
      </w:r>
    </w:p>
    <w:p w14:paraId="15A8AF76" w14:textId="012E725B" w:rsidR="0023347A" w:rsidRPr="00515C66" w:rsidRDefault="0023347A" w:rsidP="0023347A">
      <w:pPr>
        <w:numPr>
          <w:ilvl w:val="0"/>
          <w:numId w:val="19"/>
        </w:numPr>
        <w:spacing w:after="0"/>
        <w:rPr>
          <w:rFonts w:eastAsia="Calibri" w:cs="Arial"/>
        </w:rPr>
      </w:pPr>
      <w:r w:rsidRPr="00515C66">
        <w:rPr>
          <w:rFonts w:eastAsia="Calibri" w:cs="Arial"/>
        </w:rPr>
        <w:t xml:space="preserve">In case of multiple NR-PDCCH, consider the following for the reduction of UE PDCCH detection complexity. </w:t>
      </w:r>
    </w:p>
    <w:p w14:paraId="035FF92B" w14:textId="77777777" w:rsidR="0023347A" w:rsidRPr="00515C66" w:rsidRDefault="0023347A" w:rsidP="0023347A">
      <w:pPr>
        <w:numPr>
          <w:ilvl w:val="1"/>
          <w:numId w:val="19"/>
        </w:numPr>
        <w:spacing w:after="0"/>
        <w:rPr>
          <w:rFonts w:eastAsia="Calibri" w:cs="Arial"/>
        </w:rPr>
      </w:pPr>
      <w:r w:rsidRPr="00515C66">
        <w:rPr>
          <w:rFonts w:eastAsia="Calibri" w:cs="Arial"/>
        </w:rPr>
        <w:t xml:space="preserve">Note the following may or may not have RAN1 specification impact. </w:t>
      </w:r>
    </w:p>
    <w:p w14:paraId="13E69C0C" w14:textId="77777777" w:rsidR="0023347A" w:rsidRPr="00515C66" w:rsidRDefault="0023347A" w:rsidP="0023347A">
      <w:pPr>
        <w:numPr>
          <w:ilvl w:val="1"/>
          <w:numId w:val="19"/>
        </w:numPr>
        <w:spacing w:after="0"/>
        <w:rPr>
          <w:rFonts w:eastAsia="Calibri" w:cs="Arial"/>
        </w:rPr>
      </w:pPr>
      <w:r w:rsidRPr="00515C66">
        <w:rPr>
          <w:rFonts w:eastAsia="Calibri" w:cs="Arial"/>
        </w:rPr>
        <w:t>Note that different NR-PDSCH data layers from single TRP is special case.</w:t>
      </w:r>
    </w:p>
    <w:p w14:paraId="10FD3F65" w14:textId="77777777" w:rsidR="0023347A" w:rsidRPr="00515C66" w:rsidRDefault="0023347A" w:rsidP="0023347A">
      <w:pPr>
        <w:numPr>
          <w:ilvl w:val="1"/>
          <w:numId w:val="19"/>
        </w:numPr>
        <w:spacing w:after="0"/>
        <w:rPr>
          <w:rFonts w:eastAsia="Calibri" w:cs="Arial"/>
        </w:rPr>
      </w:pPr>
      <w:r w:rsidRPr="00515C66">
        <w:rPr>
          <w:rFonts w:eastAsia="Calibri" w:cs="Arial"/>
        </w:rPr>
        <w:t>The alignment of PDCCH generation rules among TRPs, e.g. one identical control resource set across TRPs</w:t>
      </w:r>
    </w:p>
    <w:p w14:paraId="5E75C0A9" w14:textId="77777777" w:rsidR="0023347A" w:rsidRPr="00515C66" w:rsidRDefault="0023347A" w:rsidP="0023347A">
      <w:pPr>
        <w:numPr>
          <w:ilvl w:val="1"/>
          <w:numId w:val="19"/>
        </w:numPr>
        <w:spacing w:after="0"/>
        <w:rPr>
          <w:rFonts w:eastAsia="Calibri" w:cs="Arial"/>
        </w:rPr>
      </w:pPr>
      <w:r w:rsidRPr="00515C66">
        <w:rPr>
          <w:rFonts w:eastAsia="Calibri" w:cs="Arial"/>
        </w:rPr>
        <w:t>Signalling the maximum number of multiple NR-PDCCH reception via L1 and/or high layer signalling</w:t>
      </w:r>
    </w:p>
    <w:p w14:paraId="11E6E3B3" w14:textId="6CCFF881" w:rsidR="0023347A" w:rsidRPr="00515C66" w:rsidRDefault="0023347A" w:rsidP="0023347A">
      <w:pPr>
        <w:numPr>
          <w:ilvl w:val="1"/>
          <w:numId w:val="19"/>
        </w:numPr>
        <w:spacing w:after="0"/>
        <w:rPr>
          <w:rFonts w:eastAsia="Calibri" w:cs="Arial"/>
        </w:rPr>
      </w:pPr>
      <w:r w:rsidRPr="00515C66">
        <w:rPr>
          <w:rFonts w:eastAsia="Calibri" w:cs="Arial"/>
        </w:rPr>
        <w:t xml:space="preserve">Other techniques can be considered. </w:t>
      </w:r>
    </w:p>
    <w:p w14:paraId="017D4F79" w14:textId="77777777" w:rsidR="0023347A" w:rsidRPr="00515C66" w:rsidRDefault="0023347A" w:rsidP="0023347A">
      <w:pPr>
        <w:spacing w:after="0"/>
        <w:rPr>
          <w:rFonts w:eastAsia="Calibri" w:cs="Arial"/>
        </w:rPr>
      </w:pPr>
    </w:p>
    <w:p w14:paraId="6DB5778B" w14:textId="71D3174F" w:rsidR="00623D5E" w:rsidRPr="00515C66" w:rsidRDefault="005303FA" w:rsidP="0023347A">
      <w:pPr>
        <w:pStyle w:val="BodyText"/>
        <w:rPr>
          <w:lang w:eastAsia="ja-JP"/>
        </w:rPr>
      </w:pPr>
      <w:r w:rsidRPr="00515C66">
        <w:rPr>
          <w:lang w:eastAsia="ja-JP"/>
        </w:rPr>
        <w:t xml:space="preserve">This paper proposes to revert </w:t>
      </w:r>
      <w:r w:rsidR="00726597" w:rsidRPr="00515C66">
        <w:rPr>
          <w:lang w:eastAsia="ja-JP"/>
        </w:rPr>
        <w:t xml:space="preserve">an </w:t>
      </w:r>
      <w:r w:rsidRPr="00515C66">
        <w:rPr>
          <w:lang w:eastAsia="ja-JP"/>
        </w:rPr>
        <w:t xml:space="preserve">agreement made in RAN2-97bis to establish that one HARQ process can handle </w:t>
      </w:r>
      <w:r w:rsidR="00AB2D04" w:rsidRPr="00515C66">
        <w:rPr>
          <w:lang w:eastAsia="ja-JP"/>
        </w:rPr>
        <w:t>multiple</w:t>
      </w:r>
      <w:r w:rsidRPr="00515C66">
        <w:rPr>
          <w:lang w:eastAsia="ja-JP"/>
        </w:rPr>
        <w:t xml:space="preserve"> transport blocks in a TTI for both uplink and downlink.</w:t>
      </w:r>
    </w:p>
    <w:p w14:paraId="19BBF656" w14:textId="37485B1B" w:rsidR="008B02AF" w:rsidRPr="00515C66" w:rsidRDefault="004000E8" w:rsidP="008B02AF">
      <w:pPr>
        <w:pStyle w:val="Heading1"/>
        <w:rPr>
          <w:lang w:val="en-US"/>
        </w:rPr>
      </w:pPr>
      <w:bookmarkStart w:id="0" w:name="_Ref178064866"/>
      <w:r w:rsidRPr="00515C66">
        <w:rPr>
          <w:lang w:val="en-US"/>
        </w:rPr>
        <w:t>Discussion</w:t>
      </w:r>
      <w:bookmarkEnd w:id="0"/>
    </w:p>
    <w:p w14:paraId="4E8A3DAE" w14:textId="7DDF93FC" w:rsidR="00251B6B" w:rsidRPr="00515C66" w:rsidRDefault="00251B6B" w:rsidP="00251B6B">
      <w:r w:rsidRPr="00515C66">
        <w:t xml:space="preserve">In LTE, </w:t>
      </w:r>
      <w:r w:rsidR="003D4F82" w:rsidRPr="00515C66">
        <w:t>async</w:t>
      </w:r>
      <w:r w:rsidR="005303FA" w:rsidRPr="00515C66">
        <w:t>hronous</w:t>
      </w:r>
      <w:r w:rsidR="003D4F82" w:rsidRPr="00515C66">
        <w:t xml:space="preserve"> HARQ </w:t>
      </w:r>
      <w:r w:rsidR="005303FA" w:rsidRPr="00515C66">
        <w:t>is</w:t>
      </w:r>
      <w:r w:rsidR="003D4F82" w:rsidRPr="00515C66">
        <w:t xml:space="preserve"> applied in downlink. Depending on different transmission modes, LTE can support up to 8 layers for single user MIMO transmission. One codeword is used for single layer transmission and two codewords are applied from 2 to 8-layer transmission. No matter one to two codewords are assigned for data transmission, </w:t>
      </w:r>
      <w:r w:rsidRPr="00515C66">
        <w:t>there is one HARQ process per subframe</w:t>
      </w:r>
      <w:r w:rsidR="003D4F82" w:rsidRPr="00515C66">
        <w:t xml:space="preserve"> for downlink multiplexing </w:t>
      </w:r>
      <w:r w:rsidR="003D4F82" w:rsidRPr="00515C66">
        <w:fldChar w:fldCharType="begin"/>
      </w:r>
      <w:r w:rsidR="003D4F82" w:rsidRPr="00515C66">
        <w:instrText xml:space="preserve"> REF _Ref480904817 \r \h </w:instrText>
      </w:r>
      <w:r w:rsidR="003D4F82" w:rsidRPr="00515C66">
        <w:fldChar w:fldCharType="separate"/>
      </w:r>
      <w:r w:rsidR="003D4F82" w:rsidRPr="00515C66">
        <w:t>[1]</w:t>
      </w:r>
      <w:r w:rsidR="003D4F82" w:rsidRPr="00515C66">
        <w:fldChar w:fldCharType="end"/>
      </w:r>
      <w:r w:rsidR="003D4F82" w:rsidRPr="00515C66">
        <w:t xml:space="preserve">. </w:t>
      </w:r>
    </w:p>
    <w:p w14:paraId="6DE79187" w14:textId="0AFCBB6B" w:rsidR="005303FA" w:rsidRPr="00515C66" w:rsidRDefault="005303FA" w:rsidP="0023347A">
      <w:pPr>
        <w:ind w:left="567"/>
      </w:pPr>
      <w:r w:rsidRPr="00515C66">
        <w:t>"When the physical layer is configured for downlink spatial multiplexing [2], one or two TBs are expected per TTI and they are associated with the same HARQ process. Otherwise, one TB is expected per TTI." (TS 36.321, section 5.3.2.1)</w:t>
      </w:r>
    </w:p>
    <w:p w14:paraId="1856C41D" w14:textId="038B4B03" w:rsidR="00222BF9" w:rsidRPr="00515C66" w:rsidRDefault="00222BF9" w:rsidP="0023347A">
      <w:pPr>
        <w:pStyle w:val="Observation"/>
        <w:rPr>
          <w:lang w:eastAsia="ja-JP"/>
        </w:rPr>
      </w:pPr>
      <w:bookmarkStart w:id="1" w:name="_Toc481655034"/>
      <w:bookmarkStart w:id="2" w:name="_Toc481867467"/>
      <w:r w:rsidRPr="00515C66">
        <w:rPr>
          <w:lang w:eastAsia="ja-JP"/>
        </w:rPr>
        <w:t>In LTE DL, one HARQ process handles two transport blocks in case of spatial multiplexing.</w:t>
      </w:r>
      <w:bookmarkEnd w:id="1"/>
      <w:bookmarkEnd w:id="2"/>
    </w:p>
    <w:p w14:paraId="2988D739" w14:textId="6460EE12" w:rsidR="00D57FBA" w:rsidRPr="00515C66" w:rsidRDefault="00D57FBA" w:rsidP="00D57FBA">
      <w:pPr>
        <w:pStyle w:val="BodyText"/>
      </w:pPr>
      <w:r w:rsidRPr="00515C66">
        <w:rPr>
          <w:lang w:eastAsia="ja-JP"/>
        </w:rPr>
        <w:t xml:space="preserve">From the </w:t>
      </w:r>
      <w:r w:rsidR="00AE3B0C" w:rsidRPr="00515C66">
        <w:rPr>
          <w:lang w:eastAsia="ja-JP"/>
        </w:rPr>
        <w:t>available</w:t>
      </w:r>
      <w:r w:rsidRPr="00515C66">
        <w:rPr>
          <w:lang w:eastAsia="ja-JP"/>
        </w:rPr>
        <w:t xml:space="preserve"> agreements,</w:t>
      </w:r>
      <w:r w:rsidRPr="00515C66">
        <w:t xml:space="preserve"> there are also up to 2 codewords</w:t>
      </w:r>
      <w:r w:rsidR="0023347A" w:rsidRPr="00515C66">
        <w:t xml:space="preserve"> per PDSCH</w:t>
      </w:r>
      <w:r w:rsidRPr="00515C66">
        <w:t xml:space="preserve"> for up to 8-layer transmission in NR, which is the same as LTE. For NR, the rule to determine the number of codewords in case of multiple layer transmission is slightly different from LTE: single codeword can be used for up to 4-layer transmission and two codewords are used for above 4-layer transmissions, while in LTE, 2 codewords are used for above 1-layer transmissions. </w:t>
      </w:r>
      <w:r w:rsidR="0023347A" w:rsidRPr="00515C66">
        <w:t xml:space="preserve">This difference </w:t>
      </w:r>
      <w:r w:rsidRPr="00515C66">
        <w:t xml:space="preserve">does not impact the HARQ processes to be used for spatial multiplexing in NR </w:t>
      </w:r>
      <w:r w:rsidR="0023347A" w:rsidRPr="00515C66">
        <w:t>as</w:t>
      </w:r>
      <w:r w:rsidRPr="00515C66">
        <w:t xml:space="preserve"> the maximum number of codewords and the maximum number of layers does not change</w:t>
      </w:r>
      <w:r w:rsidR="00AE3B0C" w:rsidRPr="00515C66">
        <w:t xml:space="preserve"> compared to LTE</w:t>
      </w:r>
      <w:r w:rsidRPr="00515C66">
        <w:t>.</w:t>
      </w:r>
    </w:p>
    <w:p w14:paraId="01B56999" w14:textId="21DE3348" w:rsidR="00D57FBA" w:rsidRPr="00515C66" w:rsidRDefault="00D57FBA" w:rsidP="00D57FBA">
      <w:pPr>
        <w:pStyle w:val="Observation"/>
      </w:pPr>
      <w:bookmarkStart w:id="3" w:name="_Toc481144164"/>
      <w:bookmarkStart w:id="4" w:name="_Toc481149963"/>
      <w:bookmarkStart w:id="5" w:name="_Toc481655035"/>
      <w:bookmarkStart w:id="6" w:name="_Toc481867468"/>
      <w:r w:rsidRPr="00515C66">
        <w:t>Similar as LTE, up to 2 codewords are used for up to 8-layer spatial multiplexing</w:t>
      </w:r>
      <w:bookmarkEnd w:id="3"/>
      <w:r w:rsidR="009204C3" w:rsidRPr="00515C66">
        <w:t xml:space="preserve"> in NR</w:t>
      </w:r>
      <w:bookmarkEnd w:id="4"/>
      <w:bookmarkEnd w:id="5"/>
      <w:r w:rsidR="00515C66">
        <w:t>.</w:t>
      </w:r>
      <w:bookmarkEnd w:id="6"/>
    </w:p>
    <w:p w14:paraId="5ABE7BBD" w14:textId="1961392D" w:rsidR="005303FA" w:rsidRPr="00515C66" w:rsidRDefault="0023347A" w:rsidP="008B43F5">
      <w:pPr>
        <w:pStyle w:val="BodyText"/>
      </w:pPr>
      <w:r w:rsidRPr="00515C66">
        <w:t xml:space="preserve">When </w:t>
      </w:r>
      <w:r w:rsidR="008B43F5" w:rsidRPr="00515C66">
        <w:t>sync</w:t>
      </w:r>
      <w:r w:rsidR="005303FA" w:rsidRPr="00515C66">
        <w:t>hronous</w:t>
      </w:r>
      <w:r w:rsidR="008B43F5" w:rsidRPr="00515C66">
        <w:t xml:space="preserve"> HARQ is used, there are two HARQ processes per TTI when uplink spatial multiplexing is configured. </w:t>
      </w:r>
    </w:p>
    <w:p w14:paraId="2198C000" w14:textId="48078BD8" w:rsidR="005303FA" w:rsidRPr="00515C66" w:rsidRDefault="005303FA" w:rsidP="00222BF9">
      <w:pPr>
        <w:ind w:left="567"/>
      </w:pPr>
      <w:r w:rsidRPr="00515C66">
        <w:t>"When the physical layer is configured for uplink spatial multiplexing [2], there are two HARQ processes associated with a given TTI. Otherwise there is one HARQ process associated with a given TTI." (TS 36.321, section 5.4.2.1)</w:t>
      </w:r>
    </w:p>
    <w:p w14:paraId="41B73F0C" w14:textId="765E58A6" w:rsidR="00222BF9" w:rsidRPr="00515C66" w:rsidRDefault="00222BF9" w:rsidP="00222BF9">
      <w:pPr>
        <w:pStyle w:val="Observation"/>
        <w:rPr>
          <w:lang w:eastAsia="ja-JP"/>
        </w:rPr>
      </w:pPr>
      <w:bookmarkStart w:id="7" w:name="_Toc481655036"/>
      <w:bookmarkStart w:id="8" w:name="_Toc481867469"/>
      <w:r w:rsidRPr="00515C66">
        <w:rPr>
          <w:lang w:eastAsia="ja-JP"/>
        </w:rPr>
        <w:t>In LTE UL, one HARQ process handles at most one transport block in case of spatial multiplexing.</w:t>
      </w:r>
      <w:bookmarkEnd w:id="7"/>
      <w:bookmarkEnd w:id="8"/>
    </w:p>
    <w:p w14:paraId="60A867EF" w14:textId="74E4969C" w:rsidR="00222BF9" w:rsidRPr="00515C66" w:rsidRDefault="00222BF9" w:rsidP="008B43F5">
      <w:pPr>
        <w:pStyle w:val="BodyText"/>
      </w:pPr>
      <w:r w:rsidRPr="00515C66">
        <w:t>In LTE there is clearly a discrepancy to how the number of HARQ processes are modelled in UL and DL in case of spatial multiplexing. We think there is no technical argument behind this difference and we would like to align uplink and downlink operation in NR.</w:t>
      </w:r>
    </w:p>
    <w:p w14:paraId="63BCBC45" w14:textId="15083B05" w:rsidR="00222BF9" w:rsidRPr="00515C66" w:rsidRDefault="00222BF9" w:rsidP="008B43F5">
      <w:pPr>
        <w:pStyle w:val="BodyText"/>
      </w:pPr>
      <w:r w:rsidRPr="00515C66">
        <w:t xml:space="preserve">In NR synchronous HARQ will not be used and asynchronous HARQ is the only mode of operation. Hence we think we should model NR based on the LTE DL as that is also asynchronous operation and have one HARQ process per TTI also for spatial multiplexing. This implies that a HARQ process in NR can support up to two transport blocks in one TTI. As a </w:t>
      </w:r>
      <w:r w:rsidR="00626D60" w:rsidRPr="00515C66">
        <w:t>consequence,</w:t>
      </w:r>
      <w:r w:rsidRPr="00515C66">
        <w:t xml:space="preserve"> </w:t>
      </w:r>
      <w:r w:rsidR="00626D60" w:rsidRPr="00515C66">
        <w:t>the agreement "A UE can transmit at most one TB per UL HARQ process per TTI" must be reverted.</w:t>
      </w:r>
    </w:p>
    <w:p w14:paraId="4576035D" w14:textId="402F9DD5" w:rsidR="00626D60" w:rsidRPr="00515C66" w:rsidRDefault="00626D60" w:rsidP="00515C66">
      <w:pPr>
        <w:pStyle w:val="Proposal"/>
      </w:pPr>
      <w:bookmarkStart w:id="9" w:name="_Toc481655027"/>
      <w:bookmarkStart w:id="10" w:name="_Toc481867470"/>
      <w:r w:rsidRPr="00515C66">
        <w:t>Revert the agreement from RAN2#97bis: "A UE can transmit at most one TB per UL HARQ process per TTI."</w:t>
      </w:r>
      <w:bookmarkEnd w:id="9"/>
      <w:bookmarkEnd w:id="10"/>
    </w:p>
    <w:p w14:paraId="7DC6C573" w14:textId="5D4EFADE" w:rsidR="0023347A" w:rsidRPr="00515C66" w:rsidRDefault="0023347A">
      <w:pPr>
        <w:pStyle w:val="BodyText"/>
      </w:pPr>
      <w:r w:rsidRPr="00515C66">
        <w:t xml:space="preserve">As can be seen from the agreements in RAN1, they are </w:t>
      </w:r>
      <w:r w:rsidR="00515C66">
        <w:t>exploring various new improvements to MIMO. It si not clear to us how this will end as l</w:t>
      </w:r>
      <w:r w:rsidRPr="00515C66">
        <w:t>ots of work still remain in RAN1</w:t>
      </w:r>
      <w:r w:rsidR="00515C66">
        <w:t>. We think it is too early to rule out that mo</w:t>
      </w:r>
      <w:r w:rsidR="00515C66" w:rsidRPr="00515C66">
        <w:t>re than two transport blocks can be transmitted to a UE during a TTI</w:t>
      </w:r>
      <w:r w:rsidR="00515C66">
        <w:t xml:space="preserve"> for example. B</w:t>
      </w:r>
      <w:r w:rsidRPr="00515C66">
        <w:t>ut as there is no impact to MAC to limit a HARQ process to supporting 2 TBs instead of 4 or 8, we think we can keep the question of the maximum number of TBs per HARQ process open</w:t>
      </w:r>
      <w:r w:rsidR="00904C89" w:rsidRPr="00515C66">
        <w:t>, under the assumption that it is at least 2</w:t>
      </w:r>
      <w:r w:rsidRPr="00515C66">
        <w:t>.</w:t>
      </w:r>
    </w:p>
    <w:p w14:paraId="2DCE7A30" w14:textId="4A0C047F" w:rsidR="00626D60" w:rsidRPr="00515C66" w:rsidRDefault="00626D60" w:rsidP="00515C66">
      <w:pPr>
        <w:pStyle w:val="Proposal"/>
      </w:pPr>
      <w:bookmarkStart w:id="11" w:name="_Toc481655028"/>
      <w:bookmarkStart w:id="12" w:name="_Toc481867471"/>
      <w:r w:rsidRPr="00515C66">
        <w:t>A DL HARQ process not configured for spatial multiplexing shall support reception of 1 transport block during a TTI.</w:t>
      </w:r>
      <w:bookmarkEnd w:id="11"/>
      <w:bookmarkEnd w:id="12"/>
    </w:p>
    <w:p w14:paraId="0BAAB155" w14:textId="6A35FC22" w:rsidR="00626D60" w:rsidRPr="00515C66" w:rsidRDefault="00626D60" w:rsidP="00626D60">
      <w:pPr>
        <w:pStyle w:val="Proposal"/>
      </w:pPr>
      <w:bookmarkStart w:id="13" w:name="_Toc481655029"/>
      <w:bookmarkStart w:id="14" w:name="_Toc481867472"/>
      <w:r w:rsidRPr="00515C66">
        <w:lastRenderedPageBreak/>
        <w:t xml:space="preserve">A DL HARQ process configured for spatial multiplexing shall support reception of at most </w:t>
      </w:r>
      <w:r w:rsidR="0023347A" w:rsidRPr="00515C66">
        <w:t>n</w:t>
      </w:r>
      <w:r w:rsidRPr="00515C66">
        <w:t xml:space="preserve"> transport blocks during a TTI</w:t>
      </w:r>
      <w:r w:rsidR="0023347A" w:rsidRPr="00515C66">
        <w:t>, n pending RAN1 progress, but assumed to be at least 2</w:t>
      </w:r>
      <w:r w:rsidRPr="00515C66">
        <w:t>.</w:t>
      </w:r>
      <w:bookmarkEnd w:id="13"/>
      <w:bookmarkEnd w:id="14"/>
    </w:p>
    <w:p w14:paraId="0B090588" w14:textId="0AA06CB3" w:rsidR="00626D60" w:rsidRPr="00515C66" w:rsidRDefault="00626D60" w:rsidP="00626D60">
      <w:pPr>
        <w:pStyle w:val="Proposal"/>
      </w:pPr>
      <w:bookmarkStart w:id="15" w:name="_Toc481655030"/>
      <w:bookmarkStart w:id="16" w:name="_Toc481867473"/>
      <w:r w:rsidRPr="00515C66">
        <w:t>A UL HARQ process not configured for spatial multiplexing shall support transmission of 1 transport block during a TTI.</w:t>
      </w:r>
      <w:bookmarkEnd w:id="15"/>
      <w:bookmarkEnd w:id="16"/>
    </w:p>
    <w:p w14:paraId="7425E894" w14:textId="2A72620F" w:rsidR="00626D60" w:rsidRPr="00515C66" w:rsidRDefault="00626D60" w:rsidP="00626D60">
      <w:pPr>
        <w:pStyle w:val="Proposal"/>
      </w:pPr>
      <w:bookmarkStart w:id="17" w:name="_Toc481655031"/>
      <w:bookmarkStart w:id="18" w:name="_Toc481867474"/>
      <w:r w:rsidRPr="00515C66">
        <w:t xml:space="preserve">A UL HARQ process configured for spatial multiplexing shall support transmission of at most </w:t>
      </w:r>
      <w:r w:rsidR="0023347A" w:rsidRPr="00515C66">
        <w:t>n</w:t>
      </w:r>
      <w:r w:rsidRPr="00515C66">
        <w:t xml:space="preserve"> transport blocks during a TTI</w:t>
      </w:r>
      <w:r w:rsidR="0023347A" w:rsidRPr="00515C66">
        <w:t>, n pending RAN1 progress, but assumed to be at least 2</w:t>
      </w:r>
      <w:r w:rsidRPr="00515C66">
        <w:t>.</w:t>
      </w:r>
      <w:bookmarkEnd w:id="17"/>
      <w:bookmarkEnd w:id="18"/>
    </w:p>
    <w:p w14:paraId="287C8273" w14:textId="77777777" w:rsidR="00C01F33" w:rsidRPr="00515C66" w:rsidRDefault="00C01F33" w:rsidP="00CE0424">
      <w:pPr>
        <w:pStyle w:val="Heading1"/>
        <w:rPr>
          <w:lang w:val="en-US"/>
        </w:rPr>
      </w:pPr>
      <w:r w:rsidRPr="00515C66">
        <w:rPr>
          <w:lang w:val="en-US"/>
        </w:rPr>
        <w:t>Conclusion</w:t>
      </w:r>
    </w:p>
    <w:p w14:paraId="4A483F85" w14:textId="4C614318" w:rsidR="0020431C" w:rsidRDefault="008E065E" w:rsidP="00A97888">
      <w:pPr>
        <w:pStyle w:val="BodyText"/>
      </w:pPr>
      <w:r w:rsidRPr="00515C66">
        <w:t xml:space="preserve">In section </w:t>
      </w:r>
      <w:r w:rsidRPr="00515C66">
        <w:rPr>
          <w:highlight w:val="cyan"/>
        </w:rPr>
        <w:fldChar w:fldCharType="begin"/>
      </w:r>
      <w:r w:rsidRPr="00515C66">
        <w:instrText xml:space="preserve"> REF _Ref178064866 \r \h </w:instrText>
      </w:r>
      <w:r w:rsidRPr="00515C66">
        <w:rPr>
          <w:highlight w:val="cyan"/>
        </w:rPr>
      </w:r>
      <w:r w:rsidRPr="00515C66">
        <w:rPr>
          <w:highlight w:val="cyan"/>
        </w:rPr>
        <w:fldChar w:fldCharType="separate"/>
      </w:r>
      <w:r w:rsidR="00CD21F5" w:rsidRPr="00515C66">
        <w:t>2</w:t>
      </w:r>
      <w:r w:rsidRPr="00515C66">
        <w:rPr>
          <w:highlight w:val="cyan"/>
        </w:rPr>
        <w:fldChar w:fldCharType="end"/>
      </w:r>
      <w:r w:rsidRPr="00515C66">
        <w:t xml:space="preserve"> we made the following observations:</w:t>
      </w:r>
    </w:p>
    <w:sdt>
      <w:sdtPr>
        <w:rPr>
          <w:b w:val="0"/>
          <w:noProof w:val="0"/>
          <w:szCs w:val="20"/>
          <w:lang w:val="en-GB"/>
        </w:rPr>
        <w:id w:val="448140177"/>
        <w:docPartObj>
          <w:docPartGallery w:val="Table of Contents"/>
          <w:docPartUnique/>
        </w:docPartObj>
      </w:sdtPr>
      <w:sdtEndPr>
        <w:rPr>
          <w:rFonts w:eastAsiaTheme="minorEastAsia" w:cstheme="minorBidi"/>
          <w:b/>
          <w:szCs w:val="22"/>
          <w:lang w:val="en-US"/>
        </w:rPr>
      </w:sdtEndPr>
      <w:sdtContent>
        <w:p w14:paraId="5AA52F98" w14:textId="77777777" w:rsidR="009317E1" w:rsidRDefault="00515C66">
          <w:pPr>
            <w:pStyle w:val="TOC1"/>
            <w:rPr>
              <w:rFonts w:asciiTheme="minorHAnsi" w:eastAsiaTheme="minorEastAsia" w:hAnsiTheme="minorHAnsi" w:cstheme="minorBidi"/>
              <w:b w:val="0"/>
              <w:sz w:val="22"/>
              <w:lang w:val="sv-SE"/>
            </w:rPr>
          </w:pPr>
          <w:r>
            <w:rPr>
              <w:b w:val="0"/>
              <w:noProof w:val="0"/>
              <w:szCs w:val="20"/>
              <w:lang w:val="en-GB"/>
            </w:rPr>
            <w:fldChar w:fldCharType="begin"/>
          </w:r>
          <w:r>
            <w:rPr>
              <w:b w:val="0"/>
              <w:noProof w:val="0"/>
              <w:szCs w:val="20"/>
              <w:lang w:val="en-GB"/>
            </w:rPr>
            <w:instrText xml:space="preserve"> TOC \n \h \z \t "Observation;1" </w:instrText>
          </w:r>
          <w:r>
            <w:rPr>
              <w:b w:val="0"/>
              <w:noProof w:val="0"/>
              <w:szCs w:val="20"/>
              <w:lang w:val="en-GB"/>
            </w:rPr>
            <w:fldChar w:fldCharType="separate"/>
          </w:r>
          <w:hyperlink w:anchor="_Toc481867467" w:history="1">
            <w:r w:rsidR="009317E1" w:rsidRPr="003D65B8">
              <w:rPr>
                <w:rStyle w:val="Hyperlink"/>
                <w:lang w:val="en-US" w:eastAsia="ja-JP"/>
              </w:rPr>
              <w:t>Observation 1</w:t>
            </w:r>
            <w:r w:rsidR="009317E1">
              <w:rPr>
                <w:rFonts w:asciiTheme="minorHAnsi" w:eastAsiaTheme="minorEastAsia" w:hAnsiTheme="minorHAnsi" w:cstheme="minorBidi"/>
                <w:b w:val="0"/>
                <w:sz w:val="22"/>
                <w:lang w:val="sv-SE"/>
              </w:rPr>
              <w:tab/>
            </w:r>
            <w:r w:rsidR="009317E1" w:rsidRPr="003D65B8">
              <w:rPr>
                <w:rStyle w:val="Hyperlink"/>
                <w:lang w:val="en-US" w:eastAsia="ja-JP"/>
              </w:rPr>
              <w:t>In LTE DL, one HARQ process handles two transport blocks in case of spatial multiplexing.</w:t>
            </w:r>
          </w:hyperlink>
        </w:p>
        <w:p w14:paraId="0E1FBAF4" w14:textId="77777777" w:rsidR="009317E1" w:rsidRDefault="009317E1">
          <w:pPr>
            <w:pStyle w:val="TOC1"/>
            <w:rPr>
              <w:rFonts w:asciiTheme="minorHAnsi" w:eastAsiaTheme="minorEastAsia" w:hAnsiTheme="minorHAnsi" w:cstheme="minorBidi"/>
              <w:b w:val="0"/>
              <w:sz w:val="22"/>
              <w:lang w:val="sv-SE"/>
            </w:rPr>
          </w:pPr>
          <w:hyperlink w:anchor="_Toc481867468" w:history="1">
            <w:r w:rsidRPr="003D65B8">
              <w:rPr>
                <w:rStyle w:val="Hyperlink"/>
                <w:lang w:val="en-US"/>
              </w:rPr>
              <w:t>Observation 2</w:t>
            </w:r>
            <w:r>
              <w:rPr>
                <w:rFonts w:asciiTheme="minorHAnsi" w:eastAsiaTheme="minorEastAsia" w:hAnsiTheme="minorHAnsi" w:cstheme="minorBidi"/>
                <w:b w:val="0"/>
                <w:sz w:val="22"/>
                <w:lang w:val="sv-SE"/>
              </w:rPr>
              <w:tab/>
            </w:r>
            <w:r w:rsidRPr="003D65B8">
              <w:rPr>
                <w:rStyle w:val="Hyperlink"/>
                <w:lang w:val="en-US"/>
              </w:rPr>
              <w:t>Similar as LTE, up to 2 codewords are used for up to 8-layer spatial multiplexing in NR.</w:t>
            </w:r>
          </w:hyperlink>
        </w:p>
        <w:p w14:paraId="7253E938" w14:textId="77777777" w:rsidR="009317E1" w:rsidRDefault="009317E1">
          <w:pPr>
            <w:pStyle w:val="TOC1"/>
            <w:rPr>
              <w:rFonts w:asciiTheme="minorHAnsi" w:eastAsiaTheme="minorEastAsia" w:hAnsiTheme="minorHAnsi" w:cstheme="minorBidi"/>
              <w:b w:val="0"/>
              <w:sz w:val="22"/>
              <w:lang w:val="sv-SE"/>
            </w:rPr>
          </w:pPr>
          <w:hyperlink w:anchor="_Toc481867469" w:history="1">
            <w:r w:rsidRPr="003D65B8">
              <w:rPr>
                <w:rStyle w:val="Hyperlink"/>
                <w:lang w:val="en-US" w:eastAsia="ja-JP"/>
              </w:rPr>
              <w:t>Observation 3</w:t>
            </w:r>
            <w:r>
              <w:rPr>
                <w:rFonts w:asciiTheme="minorHAnsi" w:eastAsiaTheme="minorEastAsia" w:hAnsiTheme="minorHAnsi" w:cstheme="minorBidi"/>
                <w:b w:val="0"/>
                <w:sz w:val="22"/>
                <w:lang w:val="sv-SE"/>
              </w:rPr>
              <w:tab/>
            </w:r>
            <w:r w:rsidRPr="003D65B8">
              <w:rPr>
                <w:rStyle w:val="Hyperlink"/>
                <w:lang w:val="en-US" w:eastAsia="ja-JP"/>
              </w:rPr>
              <w:t>In LTE UL, one HARQ process handles at most one transport block in case of spatial multiplexing.</w:t>
            </w:r>
          </w:hyperlink>
        </w:p>
        <w:p w14:paraId="4A57D506" w14:textId="6C60DA57" w:rsidR="00515C66" w:rsidRPr="00515C66" w:rsidRDefault="00515C66" w:rsidP="00A97888">
          <w:pPr>
            <w:pStyle w:val="BodyText"/>
          </w:pPr>
          <w:r>
            <w:rPr>
              <w:b/>
            </w:rPr>
            <w:fldChar w:fldCharType="end"/>
          </w:r>
        </w:p>
      </w:sdtContent>
    </w:sdt>
    <w:p w14:paraId="19A1C1D9" w14:textId="22E2CD3C" w:rsidR="0020431C" w:rsidRDefault="008E065E" w:rsidP="00A97888">
      <w:pPr>
        <w:pStyle w:val="BodyText"/>
      </w:pPr>
      <w:r w:rsidRPr="00515C66">
        <w:t xml:space="preserve">Based on the discussion in section </w:t>
      </w:r>
      <w:r w:rsidRPr="00515C66">
        <w:rPr>
          <w:highlight w:val="cyan"/>
        </w:rPr>
        <w:fldChar w:fldCharType="begin"/>
      </w:r>
      <w:r w:rsidRPr="00515C66">
        <w:instrText xml:space="preserve"> REF _Ref178064866 \r \h </w:instrText>
      </w:r>
      <w:r w:rsidRPr="00515C66">
        <w:rPr>
          <w:highlight w:val="cyan"/>
        </w:rPr>
      </w:r>
      <w:r w:rsidRPr="00515C66">
        <w:rPr>
          <w:highlight w:val="cyan"/>
        </w:rPr>
        <w:fldChar w:fldCharType="separate"/>
      </w:r>
      <w:r w:rsidR="00CD21F5" w:rsidRPr="00515C66">
        <w:t>2</w:t>
      </w:r>
      <w:r w:rsidRPr="00515C66">
        <w:rPr>
          <w:highlight w:val="cyan"/>
        </w:rPr>
        <w:fldChar w:fldCharType="end"/>
      </w:r>
      <w:r w:rsidRPr="00515C66">
        <w:t xml:space="preserve"> we propose the following:</w:t>
      </w:r>
    </w:p>
    <w:sdt>
      <w:sdtPr>
        <w:rPr>
          <w:b w:val="0"/>
          <w:noProof w:val="0"/>
          <w:szCs w:val="20"/>
          <w:lang w:val="en-GB"/>
        </w:rPr>
        <w:id w:val="-1018385947"/>
        <w:docPartObj>
          <w:docPartGallery w:val="Table of Contents"/>
          <w:docPartUnique/>
        </w:docPartObj>
      </w:sdtPr>
      <w:sdtEndPr>
        <w:rPr>
          <w:rFonts w:eastAsiaTheme="minorEastAsia" w:cstheme="minorBidi"/>
          <w:b/>
          <w:szCs w:val="22"/>
          <w:lang w:val="en-US"/>
        </w:rPr>
      </w:sdtEndPr>
      <w:sdtContent>
        <w:bookmarkStart w:id="19" w:name="_GoBack" w:displacedByCustomXml="prev"/>
        <w:bookmarkEnd w:id="19" w:displacedByCustomXml="prev"/>
        <w:p w14:paraId="0B6FD675" w14:textId="77777777" w:rsidR="009317E1" w:rsidRDefault="00515C66">
          <w:pPr>
            <w:pStyle w:val="TOC1"/>
            <w:rPr>
              <w:rFonts w:asciiTheme="minorHAnsi" w:eastAsiaTheme="minorEastAsia" w:hAnsiTheme="minorHAnsi" w:cstheme="minorBidi"/>
              <w:b w:val="0"/>
              <w:sz w:val="22"/>
              <w:lang w:val="sv-SE"/>
            </w:rPr>
          </w:pPr>
          <w:r>
            <w:rPr>
              <w:b w:val="0"/>
              <w:noProof w:val="0"/>
              <w:szCs w:val="20"/>
              <w:lang w:val="en-GB"/>
            </w:rPr>
            <w:fldChar w:fldCharType="begin"/>
          </w:r>
          <w:r>
            <w:rPr>
              <w:b w:val="0"/>
              <w:noProof w:val="0"/>
              <w:szCs w:val="20"/>
              <w:lang w:val="en-GB"/>
            </w:rPr>
            <w:instrText xml:space="preserve"> TOC \n \h \z \t "Proposal;1" </w:instrText>
          </w:r>
          <w:r>
            <w:rPr>
              <w:b w:val="0"/>
              <w:noProof w:val="0"/>
              <w:szCs w:val="20"/>
              <w:lang w:val="en-GB"/>
            </w:rPr>
            <w:fldChar w:fldCharType="separate"/>
          </w:r>
          <w:hyperlink w:anchor="_Toc481867470" w:history="1">
            <w:r w:rsidR="009317E1" w:rsidRPr="00F67404">
              <w:rPr>
                <w:rStyle w:val="Hyperlink"/>
                <w:lang w:val="en-US"/>
              </w:rPr>
              <w:t>Proposal 1</w:t>
            </w:r>
            <w:r w:rsidR="009317E1">
              <w:rPr>
                <w:rFonts w:asciiTheme="minorHAnsi" w:eastAsiaTheme="minorEastAsia" w:hAnsiTheme="minorHAnsi" w:cstheme="minorBidi"/>
                <w:b w:val="0"/>
                <w:sz w:val="22"/>
                <w:lang w:val="sv-SE"/>
              </w:rPr>
              <w:tab/>
            </w:r>
            <w:r w:rsidR="009317E1" w:rsidRPr="00F67404">
              <w:rPr>
                <w:rStyle w:val="Hyperlink"/>
                <w:lang w:val="en-US"/>
              </w:rPr>
              <w:t>Revert the agreement from RAN2#97bis: "A UE can transmit at most one TB per UL HARQ process per TTI."</w:t>
            </w:r>
          </w:hyperlink>
        </w:p>
        <w:p w14:paraId="5C8308F7" w14:textId="77777777" w:rsidR="009317E1" w:rsidRDefault="009317E1">
          <w:pPr>
            <w:pStyle w:val="TOC1"/>
            <w:rPr>
              <w:rFonts w:asciiTheme="minorHAnsi" w:eastAsiaTheme="minorEastAsia" w:hAnsiTheme="minorHAnsi" w:cstheme="minorBidi"/>
              <w:b w:val="0"/>
              <w:sz w:val="22"/>
              <w:lang w:val="sv-SE"/>
            </w:rPr>
          </w:pPr>
          <w:hyperlink w:anchor="_Toc481867471" w:history="1">
            <w:r w:rsidRPr="00F67404">
              <w:rPr>
                <w:rStyle w:val="Hyperlink"/>
                <w:lang w:val="en-US"/>
              </w:rPr>
              <w:t>Proposal 2</w:t>
            </w:r>
            <w:r>
              <w:rPr>
                <w:rFonts w:asciiTheme="minorHAnsi" w:eastAsiaTheme="minorEastAsia" w:hAnsiTheme="minorHAnsi" w:cstheme="minorBidi"/>
                <w:b w:val="0"/>
                <w:sz w:val="22"/>
                <w:lang w:val="sv-SE"/>
              </w:rPr>
              <w:tab/>
            </w:r>
            <w:r w:rsidRPr="00F67404">
              <w:rPr>
                <w:rStyle w:val="Hyperlink"/>
                <w:lang w:val="en-US"/>
              </w:rPr>
              <w:t>A DL HARQ process not configured for spatial multiplexing shall support reception of 1 transport block during a TTI.</w:t>
            </w:r>
          </w:hyperlink>
        </w:p>
        <w:p w14:paraId="29FBC9FE" w14:textId="77777777" w:rsidR="009317E1" w:rsidRDefault="009317E1">
          <w:pPr>
            <w:pStyle w:val="TOC1"/>
            <w:rPr>
              <w:rFonts w:asciiTheme="minorHAnsi" w:eastAsiaTheme="minorEastAsia" w:hAnsiTheme="minorHAnsi" w:cstheme="minorBidi"/>
              <w:b w:val="0"/>
              <w:sz w:val="22"/>
              <w:lang w:val="sv-SE"/>
            </w:rPr>
          </w:pPr>
          <w:hyperlink w:anchor="_Toc481867472" w:history="1">
            <w:r w:rsidRPr="00F67404">
              <w:rPr>
                <w:rStyle w:val="Hyperlink"/>
                <w:lang w:val="en-US"/>
              </w:rPr>
              <w:t>Proposal 3</w:t>
            </w:r>
            <w:r>
              <w:rPr>
                <w:rFonts w:asciiTheme="minorHAnsi" w:eastAsiaTheme="minorEastAsia" w:hAnsiTheme="minorHAnsi" w:cstheme="minorBidi"/>
                <w:b w:val="0"/>
                <w:sz w:val="22"/>
                <w:lang w:val="sv-SE"/>
              </w:rPr>
              <w:tab/>
            </w:r>
            <w:r w:rsidRPr="00F67404">
              <w:rPr>
                <w:rStyle w:val="Hyperlink"/>
                <w:lang w:val="en-US"/>
              </w:rPr>
              <w:t>A DL HARQ process configured for spatial multiplexing shall support reception of at most n transport blocks during a TTI, n pending RAN1 progress, but assumed to be at least 2.</w:t>
            </w:r>
          </w:hyperlink>
        </w:p>
        <w:p w14:paraId="3B80DC15" w14:textId="77777777" w:rsidR="009317E1" w:rsidRDefault="009317E1">
          <w:pPr>
            <w:pStyle w:val="TOC1"/>
            <w:rPr>
              <w:rFonts w:asciiTheme="minorHAnsi" w:eastAsiaTheme="minorEastAsia" w:hAnsiTheme="minorHAnsi" w:cstheme="minorBidi"/>
              <w:b w:val="0"/>
              <w:sz w:val="22"/>
              <w:lang w:val="sv-SE"/>
            </w:rPr>
          </w:pPr>
          <w:hyperlink w:anchor="_Toc481867473" w:history="1">
            <w:r w:rsidRPr="00F67404">
              <w:rPr>
                <w:rStyle w:val="Hyperlink"/>
                <w:lang w:val="en-US"/>
              </w:rPr>
              <w:t>Proposal 4</w:t>
            </w:r>
            <w:r>
              <w:rPr>
                <w:rFonts w:asciiTheme="minorHAnsi" w:eastAsiaTheme="minorEastAsia" w:hAnsiTheme="minorHAnsi" w:cstheme="minorBidi"/>
                <w:b w:val="0"/>
                <w:sz w:val="22"/>
                <w:lang w:val="sv-SE"/>
              </w:rPr>
              <w:tab/>
            </w:r>
            <w:r w:rsidRPr="00F67404">
              <w:rPr>
                <w:rStyle w:val="Hyperlink"/>
                <w:lang w:val="en-US"/>
              </w:rPr>
              <w:t>A UL HARQ process not configured for spatial multiplexing shall support transmission of 1 transport block during a TTI.</w:t>
            </w:r>
          </w:hyperlink>
        </w:p>
        <w:p w14:paraId="5987DE0E" w14:textId="77777777" w:rsidR="009317E1" w:rsidRDefault="009317E1">
          <w:pPr>
            <w:pStyle w:val="TOC1"/>
            <w:rPr>
              <w:rFonts w:asciiTheme="minorHAnsi" w:eastAsiaTheme="minorEastAsia" w:hAnsiTheme="minorHAnsi" w:cstheme="minorBidi"/>
              <w:b w:val="0"/>
              <w:sz w:val="22"/>
              <w:lang w:val="sv-SE"/>
            </w:rPr>
          </w:pPr>
          <w:hyperlink w:anchor="_Toc481867474" w:history="1">
            <w:r w:rsidRPr="00F67404">
              <w:rPr>
                <w:rStyle w:val="Hyperlink"/>
                <w:lang w:val="en-US"/>
              </w:rPr>
              <w:t>Proposal 5</w:t>
            </w:r>
            <w:r>
              <w:rPr>
                <w:rFonts w:asciiTheme="minorHAnsi" w:eastAsiaTheme="minorEastAsia" w:hAnsiTheme="minorHAnsi" w:cstheme="minorBidi"/>
                <w:b w:val="0"/>
                <w:sz w:val="22"/>
                <w:lang w:val="sv-SE"/>
              </w:rPr>
              <w:tab/>
            </w:r>
            <w:r w:rsidRPr="00F67404">
              <w:rPr>
                <w:rStyle w:val="Hyperlink"/>
                <w:lang w:val="en-US"/>
              </w:rPr>
              <w:t>A UL HARQ process configured for spatial multiplexing shall support transmission of at most n transport blocks during a TTI, n pending RAN1 progress, but assumed to be at least 2.</w:t>
            </w:r>
          </w:hyperlink>
        </w:p>
        <w:p w14:paraId="71E83A28" w14:textId="616C1BB5" w:rsidR="00515C66" w:rsidRPr="00515C66" w:rsidRDefault="00515C66" w:rsidP="00A97888">
          <w:pPr>
            <w:pStyle w:val="BodyText"/>
          </w:pPr>
          <w:r>
            <w:rPr>
              <w:b/>
            </w:rPr>
            <w:fldChar w:fldCharType="end"/>
          </w:r>
        </w:p>
      </w:sdtContent>
    </w:sdt>
    <w:p w14:paraId="1E12FB6D" w14:textId="77777777" w:rsidR="00F507D1" w:rsidRPr="00515C66" w:rsidRDefault="00F507D1" w:rsidP="00CE0424">
      <w:pPr>
        <w:pStyle w:val="Heading1"/>
        <w:rPr>
          <w:lang w:val="en-US"/>
        </w:rPr>
      </w:pPr>
      <w:bookmarkStart w:id="20" w:name="_In-sequence_SDU_delivery"/>
      <w:bookmarkEnd w:id="20"/>
      <w:r w:rsidRPr="00515C66">
        <w:rPr>
          <w:lang w:val="en-US"/>
        </w:rPr>
        <w:t>References</w:t>
      </w:r>
    </w:p>
    <w:p w14:paraId="59445418" w14:textId="3FB5D93F" w:rsidR="005F3025" w:rsidRPr="00515C66" w:rsidRDefault="003D4F82" w:rsidP="00311702">
      <w:pPr>
        <w:pStyle w:val="Reference"/>
      </w:pPr>
      <w:bookmarkStart w:id="21" w:name="_Ref480904817"/>
      <w:bookmarkStart w:id="22" w:name="_Ref174151459"/>
      <w:bookmarkStart w:id="23" w:name="_Ref189809556"/>
      <w:r w:rsidRPr="00515C66">
        <w:t>3GPP TS 36.321 V14.0.0, section</w:t>
      </w:r>
      <w:r w:rsidR="00053952" w:rsidRPr="00515C66">
        <w:t xml:space="preserve"> </w:t>
      </w:r>
      <w:r w:rsidRPr="00515C66">
        <w:t>5.3.2.1</w:t>
      </w:r>
      <w:bookmarkEnd w:id="21"/>
    </w:p>
    <w:p w14:paraId="225616B0" w14:textId="77522478" w:rsidR="00053952" w:rsidRPr="00515C66" w:rsidRDefault="00053952" w:rsidP="00311702">
      <w:pPr>
        <w:pStyle w:val="Reference"/>
      </w:pPr>
      <w:bookmarkStart w:id="24" w:name="_Ref480968897"/>
      <w:r w:rsidRPr="00515C66">
        <w:t>3GPP TS 36.212 V14.2.0, Section 5.3.3.1</w:t>
      </w:r>
      <w:bookmarkEnd w:id="24"/>
    </w:p>
    <w:bookmarkEnd w:id="22"/>
    <w:bookmarkEnd w:id="23"/>
    <w:p w14:paraId="19D64DE7" w14:textId="77777777" w:rsidR="003A7EF3" w:rsidRPr="00515C66" w:rsidRDefault="003A7EF3" w:rsidP="00CE0424">
      <w:pPr>
        <w:pStyle w:val="BodyText"/>
      </w:pPr>
    </w:p>
    <w:sectPr w:rsidR="003A7EF3" w:rsidRPr="00515C66">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E28A9E" w14:textId="77777777" w:rsidR="00D3289E" w:rsidRDefault="00D3289E">
      <w:r>
        <w:separator/>
      </w:r>
    </w:p>
  </w:endnote>
  <w:endnote w:type="continuationSeparator" w:id="0">
    <w:p w14:paraId="301678F3" w14:textId="77777777" w:rsidR="00D3289E" w:rsidRDefault="00D32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Meiryo"/>
    <w:panose1 w:val="02010600030101010101"/>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8C340" w14:textId="77777777" w:rsidR="00EE48AB" w:rsidRDefault="00EE48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5CDF8A" w14:textId="6AB59475"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E48A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E48AB">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1B8A9D" w14:textId="77777777" w:rsidR="00EE48AB" w:rsidRDefault="00EE48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EF9394" w14:textId="77777777" w:rsidR="00D3289E" w:rsidRDefault="00D3289E">
      <w:r>
        <w:separator/>
      </w:r>
    </w:p>
  </w:footnote>
  <w:footnote w:type="continuationSeparator" w:id="0">
    <w:p w14:paraId="32FD8467" w14:textId="77777777" w:rsidR="00D3289E" w:rsidRDefault="00D32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5A1D5E"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2726A" w14:textId="77777777" w:rsidR="00EE48AB" w:rsidRDefault="00EE48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53F0E3" w14:textId="77777777" w:rsidR="00EE48AB" w:rsidRDefault="00EE48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7D48E6"/>
    <w:multiLevelType w:val="hybridMultilevel"/>
    <w:tmpl w:val="E3D050CA"/>
    <w:lvl w:ilvl="0" w:tplc="EAFA1D10">
      <w:start w:val="1"/>
      <w:numFmt w:val="bullet"/>
      <w:lvlText w:val="•"/>
      <w:lvlJc w:val="left"/>
      <w:pPr>
        <w:tabs>
          <w:tab w:val="num" w:pos="1494"/>
        </w:tabs>
        <w:ind w:left="1494" w:hanging="360"/>
      </w:pPr>
      <w:rPr>
        <w:rFonts w:ascii="Arial" w:hAnsi="Arial" w:cs="Times New Roman" w:hint="default"/>
      </w:rPr>
    </w:lvl>
    <w:lvl w:ilvl="1" w:tplc="3B80054C">
      <w:start w:val="1169"/>
      <w:numFmt w:val="bullet"/>
      <w:lvlText w:val="–"/>
      <w:lvlJc w:val="left"/>
      <w:pPr>
        <w:tabs>
          <w:tab w:val="num" w:pos="2214"/>
        </w:tabs>
        <w:ind w:left="2214" w:hanging="360"/>
      </w:pPr>
      <w:rPr>
        <w:rFonts w:ascii="Arial" w:hAnsi="Arial" w:cs="Times New Roman" w:hint="default"/>
      </w:rPr>
    </w:lvl>
    <w:lvl w:ilvl="2" w:tplc="88D029E6">
      <w:start w:val="1169"/>
      <w:numFmt w:val="bullet"/>
      <w:lvlText w:val="•"/>
      <w:lvlJc w:val="left"/>
      <w:pPr>
        <w:tabs>
          <w:tab w:val="num" w:pos="2934"/>
        </w:tabs>
        <w:ind w:left="2934" w:hanging="360"/>
      </w:pPr>
      <w:rPr>
        <w:rFonts w:ascii="Arial" w:hAnsi="Arial" w:cs="Times New Roman" w:hint="default"/>
      </w:rPr>
    </w:lvl>
    <w:lvl w:ilvl="3" w:tplc="C7708976">
      <w:start w:val="1"/>
      <w:numFmt w:val="bullet"/>
      <w:lvlText w:val="•"/>
      <w:lvlJc w:val="left"/>
      <w:pPr>
        <w:tabs>
          <w:tab w:val="num" w:pos="3654"/>
        </w:tabs>
        <w:ind w:left="3654" w:hanging="360"/>
      </w:pPr>
      <w:rPr>
        <w:rFonts w:ascii="Arial" w:hAnsi="Arial" w:cs="Times New Roman" w:hint="default"/>
      </w:rPr>
    </w:lvl>
    <w:lvl w:ilvl="4" w:tplc="086A30AA">
      <w:start w:val="1"/>
      <w:numFmt w:val="bullet"/>
      <w:lvlText w:val="•"/>
      <w:lvlJc w:val="left"/>
      <w:pPr>
        <w:tabs>
          <w:tab w:val="num" w:pos="4374"/>
        </w:tabs>
        <w:ind w:left="4374" w:hanging="360"/>
      </w:pPr>
      <w:rPr>
        <w:rFonts w:ascii="Arial" w:hAnsi="Arial" w:cs="Times New Roman" w:hint="default"/>
      </w:rPr>
    </w:lvl>
    <w:lvl w:ilvl="5" w:tplc="4DD8C5A8">
      <w:start w:val="1"/>
      <w:numFmt w:val="bullet"/>
      <w:lvlText w:val="•"/>
      <w:lvlJc w:val="left"/>
      <w:pPr>
        <w:tabs>
          <w:tab w:val="num" w:pos="5094"/>
        </w:tabs>
        <w:ind w:left="5094" w:hanging="360"/>
      </w:pPr>
      <w:rPr>
        <w:rFonts w:ascii="Arial" w:hAnsi="Arial" w:cs="Times New Roman" w:hint="default"/>
      </w:rPr>
    </w:lvl>
    <w:lvl w:ilvl="6" w:tplc="6890BE64">
      <w:start w:val="1"/>
      <w:numFmt w:val="bullet"/>
      <w:lvlText w:val="•"/>
      <w:lvlJc w:val="left"/>
      <w:pPr>
        <w:tabs>
          <w:tab w:val="num" w:pos="5814"/>
        </w:tabs>
        <w:ind w:left="5814" w:hanging="360"/>
      </w:pPr>
      <w:rPr>
        <w:rFonts w:ascii="Arial" w:hAnsi="Arial" w:cs="Times New Roman" w:hint="default"/>
      </w:rPr>
    </w:lvl>
    <w:lvl w:ilvl="7" w:tplc="979492DA">
      <w:start w:val="1"/>
      <w:numFmt w:val="bullet"/>
      <w:lvlText w:val="•"/>
      <w:lvlJc w:val="left"/>
      <w:pPr>
        <w:tabs>
          <w:tab w:val="num" w:pos="6534"/>
        </w:tabs>
        <w:ind w:left="6534" w:hanging="360"/>
      </w:pPr>
      <w:rPr>
        <w:rFonts w:ascii="Arial" w:hAnsi="Arial" w:cs="Times New Roman" w:hint="default"/>
      </w:rPr>
    </w:lvl>
    <w:lvl w:ilvl="8" w:tplc="211EFB10">
      <w:start w:val="1"/>
      <w:numFmt w:val="bullet"/>
      <w:lvlText w:val="•"/>
      <w:lvlJc w:val="left"/>
      <w:pPr>
        <w:tabs>
          <w:tab w:val="num" w:pos="7254"/>
        </w:tabs>
        <w:ind w:left="7254" w:hanging="360"/>
      </w:pPr>
      <w:rPr>
        <w:rFonts w:ascii="Arial" w:hAnsi="Arial" w:cs="Times New Roman"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9FB0F84"/>
    <w:multiLevelType w:val="hybridMultilevel"/>
    <w:tmpl w:val="B8CC0E8E"/>
    <w:lvl w:ilvl="0" w:tplc="DABE2896">
      <w:start w:val="1"/>
      <w:numFmt w:val="bullet"/>
      <w:lvlText w:val="•"/>
      <w:lvlJc w:val="left"/>
      <w:pPr>
        <w:tabs>
          <w:tab w:val="num" w:pos="720"/>
        </w:tabs>
        <w:ind w:left="720" w:hanging="360"/>
      </w:pPr>
      <w:rPr>
        <w:rFonts w:ascii="Arial" w:hAnsi="Arial" w:cs="Times New Roman" w:hint="default"/>
      </w:rPr>
    </w:lvl>
    <w:lvl w:ilvl="1" w:tplc="8B48B4E4">
      <w:start w:val="78"/>
      <w:numFmt w:val="bullet"/>
      <w:lvlText w:val="•"/>
      <w:lvlJc w:val="left"/>
      <w:pPr>
        <w:tabs>
          <w:tab w:val="num" w:pos="1440"/>
        </w:tabs>
        <w:ind w:left="1440" w:hanging="360"/>
      </w:pPr>
      <w:rPr>
        <w:rFonts w:ascii="Arial" w:hAnsi="Arial" w:cs="Times New Roman" w:hint="default"/>
      </w:rPr>
    </w:lvl>
    <w:lvl w:ilvl="2" w:tplc="0F7E92C0">
      <w:start w:val="1"/>
      <w:numFmt w:val="bullet"/>
      <w:lvlText w:val="•"/>
      <w:lvlJc w:val="left"/>
      <w:pPr>
        <w:tabs>
          <w:tab w:val="num" w:pos="2160"/>
        </w:tabs>
        <w:ind w:left="2160" w:hanging="360"/>
      </w:pPr>
      <w:rPr>
        <w:rFonts w:ascii="Arial" w:hAnsi="Arial" w:cs="Times New Roman" w:hint="default"/>
      </w:rPr>
    </w:lvl>
    <w:lvl w:ilvl="3" w:tplc="422E2DEE">
      <w:start w:val="1"/>
      <w:numFmt w:val="bullet"/>
      <w:lvlText w:val="•"/>
      <w:lvlJc w:val="left"/>
      <w:pPr>
        <w:tabs>
          <w:tab w:val="num" w:pos="2880"/>
        </w:tabs>
        <w:ind w:left="2880" w:hanging="360"/>
      </w:pPr>
      <w:rPr>
        <w:rFonts w:ascii="Arial" w:hAnsi="Arial" w:cs="Times New Roman" w:hint="default"/>
      </w:rPr>
    </w:lvl>
    <w:lvl w:ilvl="4" w:tplc="7F869AF8">
      <w:start w:val="1"/>
      <w:numFmt w:val="bullet"/>
      <w:lvlText w:val="•"/>
      <w:lvlJc w:val="left"/>
      <w:pPr>
        <w:tabs>
          <w:tab w:val="num" w:pos="3600"/>
        </w:tabs>
        <w:ind w:left="3600" w:hanging="360"/>
      </w:pPr>
      <w:rPr>
        <w:rFonts w:ascii="Arial" w:hAnsi="Arial" w:cs="Times New Roman" w:hint="default"/>
      </w:rPr>
    </w:lvl>
    <w:lvl w:ilvl="5" w:tplc="A3601D0E">
      <w:start w:val="1"/>
      <w:numFmt w:val="bullet"/>
      <w:lvlText w:val="•"/>
      <w:lvlJc w:val="left"/>
      <w:pPr>
        <w:tabs>
          <w:tab w:val="num" w:pos="4320"/>
        </w:tabs>
        <w:ind w:left="4320" w:hanging="360"/>
      </w:pPr>
      <w:rPr>
        <w:rFonts w:ascii="Arial" w:hAnsi="Arial" w:cs="Times New Roman" w:hint="default"/>
      </w:rPr>
    </w:lvl>
    <w:lvl w:ilvl="6" w:tplc="0346D21C">
      <w:start w:val="1"/>
      <w:numFmt w:val="bullet"/>
      <w:lvlText w:val="•"/>
      <w:lvlJc w:val="left"/>
      <w:pPr>
        <w:tabs>
          <w:tab w:val="num" w:pos="5040"/>
        </w:tabs>
        <w:ind w:left="5040" w:hanging="360"/>
      </w:pPr>
      <w:rPr>
        <w:rFonts w:ascii="Arial" w:hAnsi="Arial" w:cs="Times New Roman" w:hint="default"/>
      </w:rPr>
    </w:lvl>
    <w:lvl w:ilvl="7" w:tplc="F1CCE29E">
      <w:start w:val="1"/>
      <w:numFmt w:val="bullet"/>
      <w:lvlText w:val="•"/>
      <w:lvlJc w:val="left"/>
      <w:pPr>
        <w:tabs>
          <w:tab w:val="num" w:pos="5760"/>
        </w:tabs>
        <w:ind w:left="5760" w:hanging="360"/>
      </w:pPr>
      <w:rPr>
        <w:rFonts w:ascii="Arial" w:hAnsi="Arial" w:cs="Times New Roman" w:hint="default"/>
      </w:rPr>
    </w:lvl>
    <w:lvl w:ilvl="8" w:tplc="699048F0">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7115701A"/>
    <w:multiLevelType w:val="hybridMultilevel"/>
    <w:tmpl w:val="A6B88986"/>
    <w:lvl w:ilvl="0" w:tplc="71C64BF0">
      <w:start w:val="1"/>
      <w:numFmt w:val="bullet"/>
      <w:lvlText w:val="•"/>
      <w:lvlJc w:val="left"/>
      <w:pPr>
        <w:tabs>
          <w:tab w:val="num" w:pos="1494"/>
        </w:tabs>
        <w:ind w:left="1494" w:hanging="360"/>
      </w:pPr>
      <w:rPr>
        <w:rFonts w:ascii="Arial" w:hAnsi="Arial" w:cs="Times New Roman" w:hint="default"/>
      </w:rPr>
    </w:lvl>
    <w:lvl w:ilvl="1" w:tplc="CB4EED7A">
      <w:start w:val="276"/>
      <w:numFmt w:val="bullet"/>
      <w:lvlText w:val="–"/>
      <w:lvlJc w:val="left"/>
      <w:pPr>
        <w:tabs>
          <w:tab w:val="num" w:pos="2214"/>
        </w:tabs>
        <w:ind w:left="2214" w:hanging="360"/>
      </w:pPr>
      <w:rPr>
        <w:rFonts w:ascii="Arial" w:hAnsi="Arial" w:cs="Times New Roman" w:hint="default"/>
      </w:rPr>
    </w:lvl>
    <w:lvl w:ilvl="2" w:tplc="E8E898D6">
      <w:start w:val="1"/>
      <w:numFmt w:val="bullet"/>
      <w:lvlText w:val="•"/>
      <w:lvlJc w:val="left"/>
      <w:pPr>
        <w:tabs>
          <w:tab w:val="num" w:pos="2934"/>
        </w:tabs>
        <w:ind w:left="2934" w:hanging="360"/>
      </w:pPr>
      <w:rPr>
        <w:rFonts w:ascii="Arial" w:hAnsi="Arial" w:cs="Times New Roman" w:hint="default"/>
      </w:rPr>
    </w:lvl>
    <w:lvl w:ilvl="3" w:tplc="C5CA8D04">
      <w:start w:val="1"/>
      <w:numFmt w:val="bullet"/>
      <w:lvlText w:val="•"/>
      <w:lvlJc w:val="left"/>
      <w:pPr>
        <w:tabs>
          <w:tab w:val="num" w:pos="3654"/>
        </w:tabs>
        <w:ind w:left="3654" w:hanging="360"/>
      </w:pPr>
      <w:rPr>
        <w:rFonts w:ascii="Arial" w:hAnsi="Arial" w:cs="Times New Roman" w:hint="default"/>
      </w:rPr>
    </w:lvl>
    <w:lvl w:ilvl="4" w:tplc="4C7A4B22">
      <w:start w:val="1"/>
      <w:numFmt w:val="bullet"/>
      <w:lvlText w:val="•"/>
      <w:lvlJc w:val="left"/>
      <w:pPr>
        <w:tabs>
          <w:tab w:val="num" w:pos="4374"/>
        </w:tabs>
        <w:ind w:left="4374" w:hanging="360"/>
      </w:pPr>
      <w:rPr>
        <w:rFonts w:ascii="Arial" w:hAnsi="Arial" w:cs="Times New Roman" w:hint="default"/>
      </w:rPr>
    </w:lvl>
    <w:lvl w:ilvl="5" w:tplc="B106E48A">
      <w:start w:val="1"/>
      <w:numFmt w:val="bullet"/>
      <w:lvlText w:val="•"/>
      <w:lvlJc w:val="left"/>
      <w:pPr>
        <w:tabs>
          <w:tab w:val="num" w:pos="5094"/>
        </w:tabs>
        <w:ind w:left="5094" w:hanging="360"/>
      </w:pPr>
      <w:rPr>
        <w:rFonts w:ascii="Arial" w:hAnsi="Arial" w:cs="Times New Roman" w:hint="default"/>
      </w:rPr>
    </w:lvl>
    <w:lvl w:ilvl="6" w:tplc="48B81432">
      <w:start w:val="1"/>
      <w:numFmt w:val="bullet"/>
      <w:lvlText w:val="•"/>
      <w:lvlJc w:val="left"/>
      <w:pPr>
        <w:tabs>
          <w:tab w:val="num" w:pos="5814"/>
        </w:tabs>
        <w:ind w:left="5814" w:hanging="360"/>
      </w:pPr>
      <w:rPr>
        <w:rFonts w:ascii="Arial" w:hAnsi="Arial" w:cs="Times New Roman" w:hint="default"/>
      </w:rPr>
    </w:lvl>
    <w:lvl w:ilvl="7" w:tplc="1F9AC96C">
      <w:start w:val="1"/>
      <w:numFmt w:val="bullet"/>
      <w:lvlText w:val="•"/>
      <w:lvlJc w:val="left"/>
      <w:pPr>
        <w:tabs>
          <w:tab w:val="num" w:pos="6534"/>
        </w:tabs>
        <w:ind w:left="6534" w:hanging="360"/>
      </w:pPr>
      <w:rPr>
        <w:rFonts w:ascii="Arial" w:hAnsi="Arial" w:cs="Times New Roman" w:hint="default"/>
      </w:rPr>
    </w:lvl>
    <w:lvl w:ilvl="8" w:tplc="C9B4A5B2">
      <w:start w:val="1"/>
      <w:numFmt w:val="bullet"/>
      <w:lvlText w:val="•"/>
      <w:lvlJc w:val="left"/>
      <w:pPr>
        <w:tabs>
          <w:tab w:val="num" w:pos="7254"/>
        </w:tabs>
        <w:ind w:left="7254" w:hanging="360"/>
      </w:pPr>
      <w:rPr>
        <w:rFonts w:ascii="Arial" w:hAnsi="Arial" w:cs="Times New Roman" w:hint="default"/>
      </w:rPr>
    </w:lvl>
  </w:abstractNum>
  <w:num w:numId="1">
    <w:abstractNumId w:val="4"/>
  </w:num>
  <w:num w:numId="2">
    <w:abstractNumId w:val="12"/>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4"/>
  </w:num>
  <w:num w:numId="17">
    <w:abstractNumId w:val="4"/>
  </w:num>
  <w:num w:numId="18">
    <w:abstractNumId w:val="17"/>
  </w:num>
  <w:num w:numId="19">
    <w:abstractNumId w:val="11"/>
  </w:num>
  <w:num w:numId="20">
    <w:abstractNumId w:val="13"/>
  </w:num>
  <w:num w:numId="21">
    <w:abstractNumId w:val="13"/>
  </w:num>
  <w:num w:numId="22">
    <w:abstractNumId w:val="13"/>
  </w:num>
  <w:num w:numId="23">
    <w:abstractNumId w:val="13"/>
  </w:num>
  <w:num w:numId="24">
    <w:abstractNumId w:val="13"/>
  </w:num>
  <w:num w:numId="25">
    <w:abstractNumId w:val="13"/>
  </w:num>
  <w:num w:numId="26">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21F5"/>
    <w:rsid w:val="000006E1"/>
    <w:rsid w:val="00002A37"/>
    <w:rsid w:val="000039F4"/>
    <w:rsid w:val="00004EF5"/>
    <w:rsid w:val="00006446"/>
    <w:rsid w:val="00006896"/>
    <w:rsid w:val="00007CDC"/>
    <w:rsid w:val="00011B28"/>
    <w:rsid w:val="00015D15"/>
    <w:rsid w:val="0002564D"/>
    <w:rsid w:val="00025ECA"/>
    <w:rsid w:val="000325B8"/>
    <w:rsid w:val="00034C15"/>
    <w:rsid w:val="00035146"/>
    <w:rsid w:val="00036BA1"/>
    <w:rsid w:val="000422E2"/>
    <w:rsid w:val="00042F22"/>
    <w:rsid w:val="000444EF"/>
    <w:rsid w:val="00052A07"/>
    <w:rsid w:val="000534E3"/>
    <w:rsid w:val="00053952"/>
    <w:rsid w:val="0005606A"/>
    <w:rsid w:val="000565D1"/>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053"/>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58A8"/>
    <w:rsid w:val="001062FB"/>
    <w:rsid w:val="001063E6"/>
    <w:rsid w:val="00113CF4"/>
    <w:rsid w:val="001153EA"/>
    <w:rsid w:val="00115643"/>
    <w:rsid w:val="00116765"/>
    <w:rsid w:val="001218B7"/>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431C"/>
    <w:rsid w:val="002069B2"/>
    <w:rsid w:val="00207FA3"/>
    <w:rsid w:val="00214DA8"/>
    <w:rsid w:val="00215423"/>
    <w:rsid w:val="002158FA"/>
    <w:rsid w:val="00220600"/>
    <w:rsid w:val="002224DB"/>
    <w:rsid w:val="00222BF9"/>
    <w:rsid w:val="00223FCB"/>
    <w:rsid w:val="002252C3"/>
    <w:rsid w:val="00225C54"/>
    <w:rsid w:val="00230765"/>
    <w:rsid w:val="002319E4"/>
    <w:rsid w:val="00231DEF"/>
    <w:rsid w:val="0023347A"/>
    <w:rsid w:val="00235632"/>
    <w:rsid w:val="00235872"/>
    <w:rsid w:val="00241559"/>
    <w:rsid w:val="002435B3"/>
    <w:rsid w:val="002458EB"/>
    <w:rsid w:val="002500C8"/>
    <w:rsid w:val="00251B6B"/>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099B"/>
    <w:rsid w:val="002D34B2"/>
    <w:rsid w:val="002D7637"/>
    <w:rsid w:val="002E0CCC"/>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2033"/>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4F82"/>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432"/>
    <w:rsid w:val="004362FD"/>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5C66"/>
    <w:rsid w:val="005219CF"/>
    <w:rsid w:val="00530092"/>
    <w:rsid w:val="005303FA"/>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921"/>
    <w:rsid w:val="005B35D7"/>
    <w:rsid w:val="005B392A"/>
    <w:rsid w:val="005B3AA3"/>
    <w:rsid w:val="005B591A"/>
    <w:rsid w:val="005B6F83"/>
    <w:rsid w:val="005C1E51"/>
    <w:rsid w:val="005C74FB"/>
    <w:rsid w:val="005D1602"/>
    <w:rsid w:val="005E385F"/>
    <w:rsid w:val="005E5B81"/>
    <w:rsid w:val="005F2CB1"/>
    <w:rsid w:val="005F3025"/>
    <w:rsid w:val="005F618C"/>
    <w:rsid w:val="005F70BD"/>
    <w:rsid w:val="0060283C"/>
    <w:rsid w:val="00604F14"/>
    <w:rsid w:val="00607389"/>
    <w:rsid w:val="00611B83"/>
    <w:rsid w:val="00613257"/>
    <w:rsid w:val="00620A71"/>
    <w:rsid w:val="00620D80"/>
    <w:rsid w:val="006234A6"/>
    <w:rsid w:val="00623D5E"/>
    <w:rsid w:val="00626D60"/>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241F"/>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3D11"/>
    <w:rsid w:val="00725DA9"/>
    <w:rsid w:val="00726597"/>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ED6"/>
    <w:rsid w:val="007730BD"/>
    <w:rsid w:val="007755F2"/>
    <w:rsid w:val="00776971"/>
    <w:rsid w:val="00776B1F"/>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7E8E"/>
    <w:rsid w:val="00803FAE"/>
    <w:rsid w:val="008048C9"/>
    <w:rsid w:val="0080605F"/>
    <w:rsid w:val="00807786"/>
    <w:rsid w:val="00811FCB"/>
    <w:rsid w:val="008158D6"/>
    <w:rsid w:val="0081701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25D5"/>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2AF"/>
    <w:rsid w:val="008B0483"/>
    <w:rsid w:val="008B120C"/>
    <w:rsid w:val="008B43F5"/>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4C89"/>
    <w:rsid w:val="009053AA"/>
    <w:rsid w:val="00906939"/>
    <w:rsid w:val="00910B7D"/>
    <w:rsid w:val="00911DFB"/>
    <w:rsid w:val="009139D9"/>
    <w:rsid w:val="00914AD8"/>
    <w:rsid w:val="00914DB8"/>
    <w:rsid w:val="00916079"/>
    <w:rsid w:val="00917CE9"/>
    <w:rsid w:val="009204C3"/>
    <w:rsid w:val="00920BF2"/>
    <w:rsid w:val="00922010"/>
    <w:rsid w:val="009317E1"/>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3B71"/>
    <w:rsid w:val="00994DCA"/>
    <w:rsid w:val="009960EC"/>
    <w:rsid w:val="009970DD"/>
    <w:rsid w:val="009A0FBA"/>
    <w:rsid w:val="009A1601"/>
    <w:rsid w:val="009A462D"/>
    <w:rsid w:val="009A5CBA"/>
    <w:rsid w:val="009B1F30"/>
    <w:rsid w:val="009B3AC2"/>
    <w:rsid w:val="009B4DF4"/>
    <w:rsid w:val="009B564E"/>
    <w:rsid w:val="009B7E87"/>
    <w:rsid w:val="009C403E"/>
    <w:rsid w:val="009C679D"/>
    <w:rsid w:val="009D4FF0"/>
    <w:rsid w:val="009D6AF6"/>
    <w:rsid w:val="009D703C"/>
    <w:rsid w:val="009D718F"/>
    <w:rsid w:val="009E068F"/>
    <w:rsid w:val="009E14E0"/>
    <w:rsid w:val="009E35DB"/>
    <w:rsid w:val="009E47A3"/>
    <w:rsid w:val="009F08F3"/>
    <w:rsid w:val="009F344F"/>
    <w:rsid w:val="009F7266"/>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1362"/>
    <w:rsid w:val="00A92879"/>
    <w:rsid w:val="00A9442A"/>
    <w:rsid w:val="00A97888"/>
    <w:rsid w:val="00AA016F"/>
    <w:rsid w:val="00AA1ED6"/>
    <w:rsid w:val="00AA2CB8"/>
    <w:rsid w:val="00AA51D6"/>
    <w:rsid w:val="00AB0BC8"/>
    <w:rsid w:val="00AB11CA"/>
    <w:rsid w:val="00AB14D9"/>
    <w:rsid w:val="00AB1680"/>
    <w:rsid w:val="00AB2D04"/>
    <w:rsid w:val="00AB4AB8"/>
    <w:rsid w:val="00AB655E"/>
    <w:rsid w:val="00AC007F"/>
    <w:rsid w:val="00AC2ECD"/>
    <w:rsid w:val="00AC3119"/>
    <w:rsid w:val="00AC49FB"/>
    <w:rsid w:val="00AC5A10"/>
    <w:rsid w:val="00AD0AA3"/>
    <w:rsid w:val="00AD3F94"/>
    <w:rsid w:val="00AD4A5A"/>
    <w:rsid w:val="00AE27AC"/>
    <w:rsid w:val="00AE3743"/>
    <w:rsid w:val="00AE3B0C"/>
    <w:rsid w:val="00AE40E0"/>
    <w:rsid w:val="00AE4DBA"/>
    <w:rsid w:val="00AE4F07"/>
    <w:rsid w:val="00AF1C5D"/>
    <w:rsid w:val="00AF42D7"/>
    <w:rsid w:val="00B006FE"/>
    <w:rsid w:val="00B007CB"/>
    <w:rsid w:val="00B02AA9"/>
    <w:rsid w:val="00B02FA3"/>
    <w:rsid w:val="00B05084"/>
    <w:rsid w:val="00B10771"/>
    <w:rsid w:val="00B157F9"/>
    <w:rsid w:val="00B20256"/>
    <w:rsid w:val="00B20D09"/>
    <w:rsid w:val="00B2763F"/>
    <w:rsid w:val="00B27AAC"/>
    <w:rsid w:val="00B30929"/>
    <w:rsid w:val="00B34070"/>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5D33"/>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3905"/>
    <w:rsid w:val="00C14D4B"/>
    <w:rsid w:val="00C154BB"/>
    <w:rsid w:val="00C24345"/>
    <w:rsid w:val="00C279B5"/>
    <w:rsid w:val="00C27C45"/>
    <w:rsid w:val="00C3719D"/>
    <w:rsid w:val="00C544E1"/>
    <w:rsid w:val="00C54995"/>
    <w:rsid w:val="00C54D41"/>
    <w:rsid w:val="00C60783"/>
    <w:rsid w:val="00C64672"/>
    <w:rsid w:val="00C70697"/>
    <w:rsid w:val="00C72EF4"/>
    <w:rsid w:val="00C75D2F"/>
    <w:rsid w:val="00C767BE"/>
    <w:rsid w:val="00C76D59"/>
    <w:rsid w:val="00C76E3C"/>
    <w:rsid w:val="00C81568"/>
    <w:rsid w:val="00C9027A"/>
    <w:rsid w:val="00C9064E"/>
    <w:rsid w:val="00C9068E"/>
    <w:rsid w:val="00C93C4B"/>
    <w:rsid w:val="00C944AB"/>
    <w:rsid w:val="00C95B40"/>
    <w:rsid w:val="00CA1ED8"/>
    <w:rsid w:val="00CB1F63"/>
    <w:rsid w:val="00CB2EE1"/>
    <w:rsid w:val="00CB7170"/>
    <w:rsid w:val="00CC040E"/>
    <w:rsid w:val="00CC111F"/>
    <w:rsid w:val="00CC2011"/>
    <w:rsid w:val="00CC3EA0"/>
    <w:rsid w:val="00CC7B45"/>
    <w:rsid w:val="00CD1188"/>
    <w:rsid w:val="00CD21F5"/>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289E"/>
    <w:rsid w:val="00D36E71"/>
    <w:rsid w:val="00D37D87"/>
    <w:rsid w:val="00D40B33"/>
    <w:rsid w:val="00D412AD"/>
    <w:rsid w:val="00D4318F"/>
    <w:rsid w:val="00D438BF"/>
    <w:rsid w:val="00D440F8"/>
    <w:rsid w:val="00D4677E"/>
    <w:rsid w:val="00D50F97"/>
    <w:rsid w:val="00D546FF"/>
    <w:rsid w:val="00D55AD5"/>
    <w:rsid w:val="00D576CA"/>
    <w:rsid w:val="00D57FBA"/>
    <w:rsid w:val="00D61AF5"/>
    <w:rsid w:val="00D652B5"/>
    <w:rsid w:val="00D66155"/>
    <w:rsid w:val="00D708B0"/>
    <w:rsid w:val="00D77B1D"/>
    <w:rsid w:val="00D8021F"/>
    <w:rsid w:val="00D80383"/>
    <w:rsid w:val="00D823C6"/>
    <w:rsid w:val="00D86640"/>
    <w:rsid w:val="00D86CA3"/>
    <w:rsid w:val="00D871CE"/>
    <w:rsid w:val="00D9196D"/>
    <w:rsid w:val="00D92982"/>
    <w:rsid w:val="00DA305E"/>
    <w:rsid w:val="00DA34B4"/>
    <w:rsid w:val="00DA5417"/>
    <w:rsid w:val="00DA56E8"/>
    <w:rsid w:val="00DB0A9F"/>
    <w:rsid w:val="00DB377D"/>
    <w:rsid w:val="00DC2D36"/>
    <w:rsid w:val="00DC53EF"/>
    <w:rsid w:val="00DE5608"/>
    <w:rsid w:val="00DE58D0"/>
    <w:rsid w:val="00DE654F"/>
    <w:rsid w:val="00DF0B6E"/>
    <w:rsid w:val="00DF15E0"/>
    <w:rsid w:val="00DF37A0"/>
    <w:rsid w:val="00E05A43"/>
    <w:rsid w:val="00E110E7"/>
    <w:rsid w:val="00E11B20"/>
    <w:rsid w:val="00E17FA2"/>
    <w:rsid w:val="00E22251"/>
    <w:rsid w:val="00E22330"/>
    <w:rsid w:val="00E2672F"/>
    <w:rsid w:val="00E30B5A"/>
    <w:rsid w:val="00E3123D"/>
    <w:rsid w:val="00E31461"/>
    <w:rsid w:val="00E31D43"/>
    <w:rsid w:val="00E32608"/>
    <w:rsid w:val="00E34188"/>
    <w:rsid w:val="00E34B6E"/>
    <w:rsid w:val="00E35559"/>
    <w:rsid w:val="00E3723A"/>
    <w:rsid w:val="00E37860"/>
    <w:rsid w:val="00E40112"/>
    <w:rsid w:val="00E446F1"/>
    <w:rsid w:val="00E456C3"/>
    <w:rsid w:val="00E46886"/>
    <w:rsid w:val="00E47AEF"/>
    <w:rsid w:val="00E53B75"/>
    <w:rsid w:val="00E54E3B"/>
    <w:rsid w:val="00E57565"/>
    <w:rsid w:val="00E601AC"/>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48AB"/>
    <w:rsid w:val="00EF18FE"/>
    <w:rsid w:val="00EF5787"/>
    <w:rsid w:val="00EF60D0"/>
    <w:rsid w:val="00F0528D"/>
    <w:rsid w:val="00F06C67"/>
    <w:rsid w:val="00F06DFD"/>
    <w:rsid w:val="00F071D1"/>
    <w:rsid w:val="00F07533"/>
    <w:rsid w:val="00F10629"/>
    <w:rsid w:val="00F11F19"/>
    <w:rsid w:val="00F12E8B"/>
    <w:rsid w:val="00F14845"/>
    <w:rsid w:val="00F14BA2"/>
    <w:rsid w:val="00F15FA5"/>
    <w:rsid w:val="00F209B7"/>
    <w:rsid w:val="00F2376F"/>
    <w:rsid w:val="00F243D8"/>
    <w:rsid w:val="00F275C6"/>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4834"/>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C75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E48AB"/>
    <w:pPr>
      <w:spacing w:after="160" w:line="259" w:lineRule="auto"/>
    </w:pPr>
    <w:rPr>
      <w:rFonts w:ascii="Arial" w:eastAsiaTheme="minorEastAsia" w:hAnsi="Arial" w:cstheme="minorBidi"/>
      <w:szCs w:val="22"/>
      <w:lang w:eastAsia="zh-CN"/>
    </w:rPr>
  </w:style>
  <w:style w:type="paragraph" w:styleId="Heading1">
    <w:name w:val="heading 1"/>
    <w:next w:val="Normal"/>
    <w:link w:val="Heading1Char"/>
    <w:qFormat/>
    <w:rsid w:val="009317E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317E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317E1"/>
    <w:pPr>
      <w:numPr>
        <w:ilvl w:val="2"/>
      </w:numPr>
      <w:spacing w:before="120"/>
      <w:outlineLvl w:val="2"/>
    </w:pPr>
    <w:rPr>
      <w:sz w:val="28"/>
      <w:szCs w:val="28"/>
    </w:rPr>
  </w:style>
  <w:style w:type="paragraph" w:styleId="Heading4">
    <w:name w:val="heading 4"/>
    <w:basedOn w:val="Heading3"/>
    <w:next w:val="Normal"/>
    <w:qFormat/>
    <w:rsid w:val="009317E1"/>
    <w:pPr>
      <w:numPr>
        <w:ilvl w:val="3"/>
      </w:numPr>
      <w:outlineLvl w:val="3"/>
    </w:pPr>
    <w:rPr>
      <w:sz w:val="24"/>
      <w:szCs w:val="24"/>
    </w:rPr>
  </w:style>
  <w:style w:type="paragraph" w:styleId="Heading5">
    <w:name w:val="heading 5"/>
    <w:basedOn w:val="Heading4"/>
    <w:next w:val="Normal"/>
    <w:qFormat/>
    <w:rsid w:val="009317E1"/>
    <w:pPr>
      <w:numPr>
        <w:ilvl w:val="4"/>
      </w:numPr>
      <w:outlineLvl w:val="4"/>
    </w:pPr>
    <w:rPr>
      <w:sz w:val="22"/>
      <w:szCs w:val="22"/>
    </w:rPr>
  </w:style>
  <w:style w:type="paragraph" w:styleId="Heading6">
    <w:name w:val="heading 6"/>
    <w:basedOn w:val="Normal"/>
    <w:next w:val="Normal"/>
    <w:qFormat/>
    <w:rsid w:val="009317E1"/>
    <w:pPr>
      <w:keepNext/>
      <w:keepLines/>
      <w:numPr>
        <w:ilvl w:val="5"/>
        <w:numId w:val="1"/>
      </w:numPr>
      <w:spacing w:before="120"/>
      <w:outlineLvl w:val="5"/>
    </w:pPr>
    <w:rPr>
      <w:rFonts w:cs="Arial"/>
    </w:rPr>
  </w:style>
  <w:style w:type="paragraph" w:styleId="Heading7">
    <w:name w:val="heading 7"/>
    <w:basedOn w:val="Normal"/>
    <w:next w:val="Normal"/>
    <w:qFormat/>
    <w:rsid w:val="009317E1"/>
    <w:pPr>
      <w:keepNext/>
      <w:keepLines/>
      <w:numPr>
        <w:ilvl w:val="6"/>
        <w:numId w:val="1"/>
      </w:numPr>
      <w:spacing w:before="120"/>
      <w:outlineLvl w:val="6"/>
    </w:pPr>
    <w:rPr>
      <w:rFonts w:cs="Arial"/>
    </w:rPr>
  </w:style>
  <w:style w:type="paragraph" w:styleId="Heading8">
    <w:name w:val="heading 8"/>
    <w:basedOn w:val="Heading7"/>
    <w:next w:val="Normal"/>
    <w:qFormat/>
    <w:rsid w:val="009317E1"/>
    <w:pPr>
      <w:numPr>
        <w:ilvl w:val="7"/>
      </w:numPr>
      <w:outlineLvl w:val="7"/>
    </w:pPr>
  </w:style>
  <w:style w:type="paragraph" w:styleId="Heading9">
    <w:name w:val="heading 9"/>
    <w:basedOn w:val="Heading8"/>
    <w:next w:val="Normal"/>
    <w:qFormat/>
    <w:rsid w:val="009317E1"/>
    <w:pPr>
      <w:numPr>
        <w:ilvl w:val="8"/>
      </w:numPr>
      <w:outlineLvl w:val="8"/>
    </w:pPr>
  </w:style>
  <w:style w:type="character" w:default="1" w:styleId="DefaultParagraphFont">
    <w:name w:val="Default Paragraph Font"/>
    <w:uiPriority w:val="1"/>
    <w:semiHidden/>
    <w:unhideWhenUsed/>
    <w:rsid w:val="00EE48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48AB"/>
  </w:style>
  <w:style w:type="paragraph" w:styleId="TOC8">
    <w:name w:val="toc 8"/>
    <w:basedOn w:val="TOC1"/>
    <w:semiHidden/>
    <w:rsid w:val="009317E1"/>
    <w:pPr>
      <w:spacing w:before="180"/>
      <w:ind w:left="2693" w:hanging="2693"/>
    </w:pPr>
    <w:rPr>
      <w:b w:val="0"/>
      <w:bCs/>
    </w:rPr>
  </w:style>
  <w:style w:type="paragraph" w:styleId="TOC1">
    <w:name w:val="toc 1"/>
    <w:aliases w:val="Observation TOC2"/>
    <w:uiPriority w:val="39"/>
    <w:rsid w:val="009317E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317E1"/>
    <w:pPr>
      <w:keepNext/>
      <w:keepLines/>
      <w:spacing w:before="180"/>
      <w:jc w:val="center"/>
    </w:pPr>
  </w:style>
  <w:style w:type="paragraph" w:styleId="Caption">
    <w:name w:val="caption"/>
    <w:basedOn w:val="Normal"/>
    <w:next w:val="Normal"/>
    <w:qFormat/>
    <w:rsid w:val="009317E1"/>
    <w:pPr>
      <w:spacing w:after="240"/>
      <w:jc w:val="center"/>
    </w:pPr>
    <w:rPr>
      <w:b/>
      <w:bCs/>
    </w:rPr>
  </w:style>
  <w:style w:type="paragraph" w:styleId="TOC5">
    <w:name w:val="toc 5"/>
    <w:aliases w:val="Observation TOC"/>
    <w:basedOn w:val="TOC4"/>
    <w:semiHidden/>
    <w:rsid w:val="009317E1"/>
    <w:pPr>
      <w:tabs>
        <w:tab w:val="right" w:pos="1701"/>
      </w:tabs>
      <w:ind w:left="1701" w:hanging="1701"/>
    </w:pPr>
  </w:style>
  <w:style w:type="paragraph" w:styleId="TOC4">
    <w:name w:val="toc 4"/>
    <w:basedOn w:val="TOC3"/>
    <w:semiHidden/>
    <w:rsid w:val="009317E1"/>
    <w:pPr>
      <w:ind w:left="1418" w:hanging="1418"/>
    </w:pPr>
  </w:style>
  <w:style w:type="paragraph" w:styleId="TOC3">
    <w:name w:val="toc 3"/>
    <w:basedOn w:val="TOC2"/>
    <w:semiHidden/>
    <w:rsid w:val="009317E1"/>
    <w:pPr>
      <w:ind w:left="1134" w:hanging="1134"/>
    </w:pPr>
  </w:style>
  <w:style w:type="paragraph" w:styleId="TOC2">
    <w:name w:val="toc 2"/>
    <w:basedOn w:val="TOC1"/>
    <w:semiHidden/>
    <w:rsid w:val="009317E1"/>
    <w:pPr>
      <w:keepNext w:val="0"/>
      <w:spacing w:before="0"/>
      <w:ind w:left="851" w:hanging="851"/>
    </w:pPr>
    <w:rPr>
      <w:szCs w:val="20"/>
    </w:rPr>
  </w:style>
  <w:style w:type="paragraph" w:styleId="Index2">
    <w:name w:val="index 2"/>
    <w:basedOn w:val="Index1"/>
    <w:semiHidden/>
    <w:rsid w:val="009317E1"/>
    <w:pPr>
      <w:ind w:left="284"/>
    </w:pPr>
  </w:style>
  <w:style w:type="paragraph" w:styleId="Index1">
    <w:name w:val="index 1"/>
    <w:basedOn w:val="Normal"/>
    <w:semiHidden/>
    <w:rsid w:val="009317E1"/>
    <w:pPr>
      <w:keepLines/>
      <w:spacing w:after="0"/>
    </w:pPr>
  </w:style>
  <w:style w:type="paragraph" w:styleId="DocumentMap">
    <w:name w:val="Document Map"/>
    <w:basedOn w:val="Normal"/>
    <w:semiHidden/>
    <w:rsid w:val="009317E1"/>
    <w:pPr>
      <w:shd w:val="clear" w:color="auto" w:fill="000080"/>
    </w:pPr>
    <w:rPr>
      <w:rFonts w:ascii="Tahoma" w:hAnsi="Tahoma" w:cs="Tahoma"/>
    </w:rPr>
  </w:style>
  <w:style w:type="paragraph" w:styleId="ListNumber2">
    <w:name w:val="List Number 2"/>
    <w:basedOn w:val="ListNumber"/>
    <w:rsid w:val="009317E1"/>
    <w:pPr>
      <w:ind w:left="851"/>
    </w:pPr>
  </w:style>
  <w:style w:type="paragraph" w:styleId="ListNumber">
    <w:name w:val="List Number"/>
    <w:basedOn w:val="List"/>
    <w:rsid w:val="009317E1"/>
  </w:style>
  <w:style w:type="paragraph" w:styleId="List">
    <w:name w:val="List"/>
    <w:basedOn w:val="Normal"/>
    <w:rsid w:val="009317E1"/>
    <w:pPr>
      <w:ind w:left="568" w:hanging="284"/>
    </w:pPr>
  </w:style>
  <w:style w:type="paragraph" w:styleId="Header">
    <w:name w:val="header"/>
    <w:rsid w:val="009317E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317E1"/>
    <w:rPr>
      <w:b/>
      <w:bCs/>
      <w:position w:val="6"/>
      <w:sz w:val="16"/>
      <w:szCs w:val="16"/>
    </w:rPr>
  </w:style>
  <w:style w:type="paragraph" w:styleId="FootnoteText">
    <w:name w:val="footnote text"/>
    <w:basedOn w:val="Normal"/>
    <w:semiHidden/>
    <w:rsid w:val="009317E1"/>
    <w:pPr>
      <w:keepLines/>
      <w:spacing w:after="0"/>
      <w:ind w:left="454" w:hanging="454"/>
    </w:pPr>
    <w:rPr>
      <w:sz w:val="16"/>
      <w:szCs w:val="16"/>
    </w:rPr>
  </w:style>
  <w:style w:type="paragraph" w:customStyle="1" w:styleId="3GPPHeader">
    <w:name w:val="3GPP_Header"/>
    <w:basedOn w:val="Normal"/>
    <w:rsid w:val="009317E1"/>
    <w:pPr>
      <w:tabs>
        <w:tab w:val="left" w:pos="1701"/>
        <w:tab w:val="right" w:pos="9639"/>
      </w:tabs>
      <w:spacing w:after="240"/>
    </w:pPr>
    <w:rPr>
      <w:b/>
      <w:sz w:val="24"/>
    </w:rPr>
  </w:style>
  <w:style w:type="paragraph" w:styleId="TOC9">
    <w:name w:val="toc 9"/>
    <w:basedOn w:val="TOC8"/>
    <w:semiHidden/>
    <w:rsid w:val="009317E1"/>
    <w:pPr>
      <w:ind w:left="1418" w:hanging="1418"/>
    </w:pPr>
  </w:style>
  <w:style w:type="paragraph" w:styleId="TOC6">
    <w:name w:val="toc 6"/>
    <w:basedOn w:val="TOC5"/>
    <w:next w:val="Normal"/>
    <w:semiHidden/>
    <w:rsid w:val="009317E1"/>
    <w:pPr>
      <w:ind w:left="1985" w:hanging="1985"/>
    </w:pPr>
  </w:style>
  <w:style w:type="paragraph" w:styleId="TOC7">
    <w:name w:val="toc 7"/>
    <w:basedOn w:val="TOC6"/>
    <w:next w:val="Normal"/>
    <w:semiHidden/>
    <w:rsid w:val="009317E1"/>
    <w:pPr>
      <w:ind w:left="2268" w:hanging="2268"/>
    </w:pPr>
  </w:style>
  <w:style w:type="paragraph" w:styleId="ListBullet2">
    <w:name w:val="List Bullet 2"/>
    <w:basedOn w:val="ListBullet"/>
    <w:rsid w:val="009317E1"/>
    <w:pPr>
      <w:numPr>
        <w:numId w:val="6"/>
      </w:numPr>
    </w:pPr>
  </w:style>
  <w:style w:type="paragraph" w:styleId="ListBullet">
    <w:name w:val="List Bullet"/>
    <w:basedOn w:val="BodyText"/>
    <w:rsid w:val="009317E1"/>
    <w:pPr>
      <w:numPr>
        <w:numId w:val="5"/>
      </w:numPr>
    </w:pPr>
  </w:style>
  <w:style w:type="paragraph" w:styleId="ListBullet3">
    <w:name w:val="List Bullet 3"/>
    <w:basedOn w:val="ListBullet2"/>
    <w:rsid w:val="009317E1"/>
    <w:pPr>
      <w:numPr>
        <w:numId w:val="7"/>
      </w:numPr>
    </w:pPr>
  </w:style>
  <w:style w:type="paragraph" w:customStyle="1" w:styleId="EQ">
    <w:name w:val="EQ"/>
    <w:basedOn w:val="Normal"/>
    <w:next w:val="Normal"/>
    <w:rsid w:val="009317E1"/>
    <w:pPr>
      <w:keepLines/>
      <w:tabs>
        <w:tab w:val="center" w:pos="4536"/>
        <w:tab w:val="right" w:pos="9072"/>
      </w:tabs>
      <w:spacing w:after="180"/>
    </w:pPr>
    <w:rPr>
      <w:noProof/>
      <w:lang w:eastAsia="en-US"/>
    </w:rPr>
  </w:style>
  <w:style w:type="paragraph" w:styleId="List2">
    <w:name w:val="List 2"/>
    <w:basedOn w:val="List"/>
    <w:rsid w:val="009317E1"/>
    <w:pPr>
      <w:ind w:left="851"/>
    </w:pPr>
  </w:style>
  <w:style w:type="paragraph" w:styleId="List3">
    <w:name w:val="List 3"/>
    <w:basedOn w:val="List2"/>
    <w:rsid w:val="009317E1"/>
    <w:pPr>
      <w:ind w:left="1135"/>
    </w:pPr>
  </w:style>
  <w:style w:type="paragraph" w:styleId="List4">
    <w:name w:val="List 4"/>
    <w:basedOn w:val="List3"/>
    <w:rsid w:val="009317E1"/>
    <w:pPr>
      <w:ind w:left="1418"/>
    </w:pPr>
  </w:style>
  <w:style w:type="paragraph" w:styleId="List5">
    <w:name w:val="List 5"/>
    <w:basedOn w:val="List4"/>
    <w:rsid w:val="009317E1"/>
    <w:pPr>
      <w:ind w:left="1702"/>
    </w:pPr>
  </w:style>
  <w:style w:type="paragraph" w:customStyle="1" w:styleId="EditorsNote">
    <w:name w:val="Editor's Note"/>
    <w:basedOn w:val="Normal"/>
    <w:rsid w:val="009317E1"/>
    <w:pPr>
      <w:keepLines/>
      <w:spacing w:after="180"/>
      <w:ind w:left="1135" w:hanging="851"/>
    </w:pPr>
    <w:rPr>
      <w:color w:val="FF0000"/>
      <w:lang w:eastAsia="en-US"/>
    </w:rPr>
  </w:style>
  <w:style w:type="paragraph" w:styleId="ListBullet4">
    <w:name w:val="List Bullet 4"/>
    <w:basedOn w:val="ListBullet3"/>
    <w:rsid w:val="009317E1"/>
    <w:pPr>
      <w:numPr>
        <w:numId w:val="8"/>
      </w:numPr>
    </w:pPr>
  </w:style>
  <w:style w:type="paragraph" w:styleId="ListBullet5">
    <w:name w:val="List Bullet 5"/>
    <w:basedOn w:val="ListBullet4"/>
    <w:rsid w:val="009317E1"/>
    <w:pPr>
      <w:numPr>
        <w:numId w:val="4"/>
      </w:numPr>
    </w:pPr>
  </w:style>
  <w:style w:type="paragraph" w:styleId="Footer">
    <w:name w:val="footer"/>
    <w:basedOn w:val="Header"/>
    <w:semiHidden/>
    <w:rsid w:val="009317E1"/>
    <w:pPr>
      <w:jc w:val="center"/>
    </w:pPr>
    <w:rPr>
      <w:i/>
      <w:iCs/>
    </w:rPr>
  </w:style>
  <w:style w:type="paragraph" w:customStyle="1" w:styleId="Reference">
    <w:name w:val="Reference"/>
    <w:basedOn w:val="Normal"/>
    <w:rsid w:val="009317E1"/>
    <w:pPr>
      <w:numPr>
        <w:numId w:val="2"/>
      </w:numPr>
    </w:pPr>
  </w:style>
  <w:style w:type="paragraph" w:styleId="BalloonText">
    <w:name w:val="Balloon Text"/>
    <w:basedOn w:val="Normal"/>
    <w:semiHidden/>
    <w:rsid w:val="009317E1"/>
    <w:rPr>
      <w:rFonts w:ascii="Tahoma" w:hAnsi="Tahoma" w:cs="Tahoma"/>
      <w:sz w:val="16"/>
      <w:szCs w:val="16"/>
    </w:rPr>
  </w:style>
  <w:style w:type="character" w:styleId="PageNumber">
    <w:name w:val="page number"/>
    <w:basedOn w:val="DefaultParagraphFont"/>
    <w:semiHidden/>
    <w:rsid w:val="009317E1"/>
  </w:style>
  <w:style w:type="paragraph" w:styleId="BodyText">
    <w:name w:val="Body Text"/>
    <w:basedOn w:val="Normal"/>
    <w:link w:val="BodyTextChar"/>
    <w:rsid w:val="009317E1"/>
  </w:style>
  <w:style w:type="character" w:styleId="Hyperlink">
    <w:name w:val="Hyperlink"/>
    <w:uiPriority w:val="99"/>
    <w:rsid w:val="009317E1"/>
    <w:rPr>
      <w:color w:val="0000FF"/>
      <w:u w:val="single"/>
      <w:lang w:val="en-GB"/>
    </w:rPr>
  </w:style>
  <w:style w:type="character" w:styleId="FollowedHyperlink">
    <w:name w:val="FollowedHyperlink"/>
    <w:semiHidden/>
    <w:rsid w:val="009317E1"/>
    <w:rPr>
      <w:color w:val="FF0000"/>
      <w:u w:val="single"/>
    </w:rPr>
  </w:style>
  <w:style w:type="character" w:styleId="CommentReference">
    <w:name w:val="annotation reference"/>
    <w:semiHidden/>
    <w:rsid w:val="009317E1"/>
    <w:rPr>
      <w:sz w:val="16"/>
      <w:szCs w:val="16"/>
    </w:rPr>
  </w:style>
  <w:style w:type="paragraph" w:styleId="CommentText">
    <w:name w:val="annotation text"/>
    <w:basedOn w:val="Normal"/>
    <w:semiHidden/>
    <w:rsid w:val="009317E1"/>
  </w:style>
  <w:style w:type="paragraph" w:styleId="CommentSubject">
    <w:name w:val="annotation subject"/>
    <w:basedOn w:val="CommentText"/>
    <w:next w:val="CommentText"/>
    <w:semiHidden/>
    <w:rsid w:val="009317E1"/>
    <w:rPr>
      <w:b/>
      <w:bCs/>
    </w:rPr>
  </w:style>
  <w:style w:type="character" w:customStyle="1" w:styleId="Heading1Char">
    <w:name w:val="Heading 1 Char"/>
    <w:link w:val="Heading1"/>
    <w:rsid w:val="009317E1"/>
    <w:rPr>
      <w:rFonts w:ascii="Arial" w:hAnsi="Arial" w:cs="Arial"/>
      <w:sz w:val="36"/>
      <w:szCs w:val="36"/>
      <w:lang w:val="en-GB" w:eastAsia="zh-CN"/>
    </w:rPr>
  </w:style>
  <w:style w:type="paragraph" w:customStyle="1" w:styleId="B1">
    <w:name w:val="B1"/>
    <w:basedOn w:val="List"/>
    <w:rsid w:val="009317E1"/>
    <w:pPr>
      <w:spacing w:after="180"/>
    </w:pPr>
    <w:rPr>
      <w:lang w:eastAsia="en-US"/>
    </w:rPr>
  </w:style>
  <w:style w:type="paragraph" w:customStyle="1" w:styleId="B2">
    <w:name w:val="B2"/>
    <w:basedOn w:val="List2"/>
    <w:rsid w:val="009317E1"/>
    <w:pPr>
      <w:spacing w:after="180"/>
    </w:pPr>
    <w:rPr>
      <w:lang w:eastAsia="en-US"/>
    </w:rPr>
  </w:style>
  <w:style w:type="paragraph" w:customStyle="1" w:styleId="B3">
    <w:name w:val="B3"/>
    <w:basedOn w:val="List3"/>
    <w:rsid w:val="009317E1"/>
    <w:pPr>
      <w:spacing w:after="180"/>
    </w:pPr>
    <w:rPr>
      <w:lang w:eastAsia="en-US"/>
    </w:rPr>
  </w:style>
  <w:style w:type="paragraph" w:customStyle="1" w:styleId="B4">
    <w:name w:val="B4"/>
    <w:basedOn w:val="List4"/>
    <w:rsid w:val="009317E1"/>
    <w:pPr>
      <w:spacing w:after="180"/>
    </w:pPr>
    <w:rPr>
      <w:lang w:eastAsia="en-US"/>
    </w:rPr>
  </w:style>
  <w:style w:type="paragraph" w:customStyle="1" w:styleId="Proposal">
    <w:name w:val="Proposal"/>
    <w:basedOn w:val="Normal"/>
    <w:rsid w:val="009317E1"/>
    <w:pPr>
      <w:numPr>
        <w:numId w:val="3"/>
      </w:numPr>
      <w:tabs>
        <w:tab w:val="clear" w:pos="1304"/>
        <w:tab w:val="left" w:pos="1701"/>
      </w:tabs>
      <w:ind w:left="1701" w:hanging="1701"/>
    </w:pPr>
    <w:rPr>
      <w:b/>
      <w:bCs/>
    </w:rPr>
  </w:style>
  <w:style w:type="character" w:customStyle="1" w:styleId="BodyTextChar">
    <w:name w:val="Body Text Char"/>
    <w:link w:val="BodyText"/>
    <w:rsid w:val="009317E1"/>
    <w:rPr>
      <w:rFonts w:ascii="Arial" w:hAnsi="Arial"/>
      <w:lang w:val="en-GB" w:eastAsia="zh-CN"/>
    </w:rPr>
  </w:style>
  <w:style w:type="paragraph" w:customStyle="1" w:styleId="B5">
    <w:name w:val="B5"/>
    <w:basedOn w:val="List5"/>
    <w:rsid w:val="009317E1"/>
    <w:pPr>
      <w:spacing w:after="180"/>
    </w:pPr>
    <w:rPr>
      <w:lang w:eastAsia="en-US"/>
    </w:rPr>
  </w:style>
  <w:style w:type="paragraph" w:customStyle="1" w:styleId="EX">
    <w:name w:val="EX"/>
    <w:basedOn w:val="Normal"/>
    <w:rsid w:val="009317E1"/>
    <w:pPr>
      <w:keepLines/>
      <w:spacing w:after="180"/>
      <w:ind w:left="1702" w:hanging="1418"/>
    </w:pPr>
    <w:rPr>
      <w:lang w:eastAsia="en-US"/>
    </w:rPr>
  </w:style>
  <w:style w:type="paragraph" w:customStyle="1" w:styleId="EW">
    <w:name w:val="EW"/>
    <w:basedOn w:val="EX"/>
    <w:rsid w:val="009317E1"/>
    <w:pPr>
      <w:spacing w:after="0"/>
    </w:pPr>
  </w:style>
  <w:style w:type="paragraph" w:customStyle="1" w:styleId="TAL">
    <w:name w:val="TAL"/>
    <w:basedOn w:val="Normal"/>
    <w:rsid w:val="009317E1"/>
    <w:pPr>
      <w:keepNext/>
      <w:keepLines/>
      <w:spacing w:after="0"/>
    </w:pPr>
    <w:rPr>
      <w:sz w:val="18"/>
      <w:lang w:eastAsia="en-US"/>
    </w:rPr>
  </w:style>
  <w:style w:type="paragraph" w:customStyle="1" w:styleId="TAC">
    <w:name w:val="TAC"/>
    <w:basedOn w:val="TAL"/>
    <w:rsid w:val="009317E1"/>
    <w:pPr>
      <w:jc w:val="center"/>
    </w:pPr>
  </w:style>
  <w:style w:type="paragraph" w:customStyle="1" w:styleId="TAH">
    <w:name w:val="TAH"/>
    <w:basedOn w:val="TAC"/>
    <w:rsid w:val="009317E1"/>
    <w:rPr>
      <w:b/>
    </w:rPr>
  </w:style>
  <w:style w:type="paragraph" w:customStyle="1" w:styleId="TAN">
    <w:name w:val="TAN"/>
    <w:basedOn w:val="TAL"/>
    <w:rsid w:val="009317E1"/>
    <w:pPr>
      <w:ind w:left="851" w:hanging="851"/>
    </w:pPr>
  </w:style>
  <w:style w:type="paragraph" w:customStyle="1" w:styleId="TAR">
    <w:name w:val="TAR"/>
    <w:basedOn w:val="TAL"/>
    <w:rsid w:val="009317E1"/>
    <w:pPr>
      <w:jc w:val="right"/>
    </w:pPr>
  </w:style>
  <w:style w:type="paragraph" w:customStyle="1" w:styleId="TH">
    <w:name w:val="TH"/>
    <w:basedOn w:val="Normal"/>
    <w:rsid w:val="009317E1"/>
    <w:pPr>
      <w:keepNext/>
      <w:keepLines/>
      <w:spacing w:before="60" w:after="180"/>
      <w:jc w:val="center"/>
    </w:pPr>
    <w:rPr>
      <w:b/>
      <w:lang w:eastAsia="en-US"/>
    </w:rPr>
  </w:style>
  <w:style w:type="paragraph" w:customStyle="1" w:styleId="TF">
    <w:name w:val="TF"/>
    <w:basedOn w:val="TH"/>
    <w:rsid w:val="009317E1"/>
    <w:pPr>
      <w:keepNext w:val="0"/>
      <w:spacing w:before="0" w:after="240"/>
    </w:pPr>
  </w:style>
  <w:style w:type="paragraph" w:customStyle="1" w:styleId="TT">
    <w:name w:val="TT"/>
    <w:basedOn w:val="Heading1"/>
    <w:next w:val="Normal"/>
    <w:rsid w:val="009317E1"/>
    <w:pPr>
      <w:numPr>
        <w:numId w:val="0"/>
      </w:numPr>
      <w:ind w:left="1134" w:hanging="1134"/>
      <w:outlineLvl w:val="9"/>
    </w:pPr>
    <w:rPr>
      <w:rFonts w:cs="Times New Roman"/>
      <w:szCs w:val="20"/>
      <w:lang w:eastAsia="en-US"/>
    </w:rPr>
  </w:style>
  <w:style w:type="paragraph" w:customStyle="1" w:styleId="ZA">
    <w:name w:val="ZA"/>
    <w:rsid w:val="009317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317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317E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317E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317E1"/>
  </w:style>
  <w:style w:type="paragraph" w:customStyle="1" w:styleId="ZH">
    <w:name w:val="ZH"/>
    <w:rsid w:val="009317E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317E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317E1"/>
    <w:pPr>
      <w:framePr w:hRule="auto" w:wrap="notBeside" w:y="852"/>
    </w:pPr>
    <w:rPr>
      <w:i w:val="0"/>
      <w:sz w:val="40"/>
    </w:rPr>
  </w:style>
  <w:style w:type="paragraph" w:customStyle="1" w:styleId="ZU">
    <w:name w:val="ZU"/>
    <w:rsid w:val="009317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317E1"/>
    <w:pPr>
      <w:framePr w:wrap="notBeside" w:y="16161"/>
    </w:pPr>
  </w:style>
  <w:style w:type="paragraph" w:customStyle="1" w:styleId="FP">
    <w:name w:val="FP"/>
    <w:basedOn w:val="Normal"/>
    <w:rsid w:val="009317E1"/>
    <w:pPr>
      <w:spacing w:after="0"/>
    </w:pPr>
    <w:rPr>
      <w:lang w:eastAsia="en-US"/>
    </w:rPr>
  </w:style>
  <w:style w:type="paragraph" w:customStyle="1" w:styleId="Observation">
    <w:name w:val="Observation"/>
    <w:basedOn w:val="Proposal"/>
    <w:qFormat/>
    <w:rsid w:val="009317E1"/>
    <w:pPr>
      <w:numPr>
        <w:numId w:val="13"/>
      </w:numPr>
      <w:ind w:left="1701" w:hanging="1701"/>
    </w:pPr>
  </w:style>
  <w:style w:type="paragraph" w:styleId="TableofFigures">
    <w:name w:val="table of figures"/>
    <w:basedOn w:val="Normal"/>
    <w:next w:val="Normal"/>
    <w:uiPriority w:val="99"/>
    <w:rsid w:val="009317E1"/>
    <w:pPr>
      <w:ind w:left="1418" w:hanging="1418"/>
    </w:pPr>
    <w:rPr>
      <w:b/>
    </w:rPr>
  </w:style>
  <w:style w:type="paragraph" w:customStyle="1" w:styleId="Doc-text2">
    <w:name w:val="Doc-text2"/>
    <w:basedOn w:val="Normal"/>
    <w:link w:val="Doc-text2Char"/>
    <w:qFormat/>
    <w:rsid w:val="009317E1"/>
    <w:pPr>
      <w:tabs>
        <w:tab w:val="left" w:pos="1622"/>
      </w:tabs>
      <w:spacing w:after="0"/>
      <w:ind w:left="1622" w:hanging="363"/>
    </w:pPr>
    <w:rPr>
      <w:rFonts w:eastAsia="MS Mincho"/>
      <w:szCs w:val="24"/>
      <w:lang w:eastAsia="en-GB"/>
    </w:rPr>
  </w:style>
  <w:style w:type="character" w:customStyle="1" w:styleId="Doc-text2Char">
    <w:name w:val="Doc-text2 Char"/>
    <w:link w:val="Doc-text2"/>
    <w:rsid w:val="009317E1"/>
    <w:rPr>
      <w:rFonts w:ascii="Arial" w:eastAsia="MS Mincho" w:hAnsi="Arial"/>
      <w:szCs w:val="24"/>
      <w:lang w:val="en-GB" w:eastAsia="en-GB"/>
    </w:rPr>
  </w:style>
  <w:style w:type="paragraph" w:styleId="ListParagraph">
    <w:name w:val="List Paragraph"/>
    <w:basedOn w:val="Normal"/>
    <w:uiPriority w:val="34"/>
    <w:qFormat/>
    <w:rsid w:val="00F14B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128100">
      <w:bodyDiv w:val="1"/>
      <w:marLeft w:val="0"/>
      <w:marRight w:val="0"/>
      <w:marTop w:val="0"/>
      <w:marBottom w:val="0"/>
      <w:divBdr>
        <w:top w:val="none" w:sz="0" w:space="0" w:color="auto"/>
        <w:left w:val="none" w:sz="0" w:space="0" w:color="auto"/>
        <w:bottom w:val="none" w:sz="0" w:space="0" w:color="auto"/>
        <w:right w:val="none" w:sz="0" w:space="0" w:color="auto"/>
      </w:divBdr>
    </w:div>
    <w:div w:id="81410636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89334154">
      <w:bodyDiv w:val="1"/>
      <w:marLeft w:val="0"/>
      <w:marRight w:val="0"/>
      <w:marTop w:val="0"/>
      <w:marBottom w:val="0"/>
      <w:divBdr>
        <w:top w:val="none" w:sz="0" w:space="0" w:color="auto"/>
        <w:left w:val="none" w:sz="0" w:space="0" w:color="auto"/>
        <w:bottom w:val="none" w:sz="0" w:space="0" w:color="auto"/>
        <w:right w:val="none" w:sz="0" w:space="0" w:color="auto"/>
      </w:divBdr>
    </w:div>
    <w:div w:id="205399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5E0947-2F45-4B63-A677-935D28F1F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1253</Words>
  <Characters>6642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2017-05-06T18:55:00Z</dcterms:created>
  <dcterms:modified xsi:type="dcterms:W3CDTF">2017-05-06T18:56:00Z</dcterms:modified>
</cp:coreProperties>
</file>